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E7" w:rsidRPr="00EE66E7" w:rsidRDefault="00EE66E7" w:rsidP="00EE66E7">
      <w:pPr>
        <w:pBdr>
          <w:bottom w:val="single" w:sz="6" w:space="1" w:color="auto"/>
        </w:pBdr>
        <w:bidi w:val="0"/>
        <w:spacing w:after="0" w:line="240" w:lineRule="auto"/>
        <w:jc w:val="center"/>
        <w:rPr>
          <w:rFonts w:ascii="Arial" w:eastAsia="Times New Roman" w:hAnsi="Arial" w:cs="Arial"/>
          <w:vanish/>
          <w:sz w:val="16"/>
          <w:szCs w:val="16"/>
        </w:rPr>
      </w:pPr>
      <w:r w:rsidRPr="00EE66E7">
        <w:rPr>
          <w:rFonts w:ascii="Arial" w:eastAsia="Times New Roman" w:hAnsi="Arial" w:cs="Arial"/>
          <w:vanish/>
          <w:sz w:val="16"/>
          <w:szCs w:val="16"/>
        </w:rPr>
        <w:t>Top of Form</w:t>
      </w:r>
    </w:p>
    <w:p w:rsidR="00EE66E7" w:rsidRPr="00EE66E7" w:rsidRDefault="00EE66E7" w:rsidP="00EE66E7">
      <w:pPr>
        <w:shd w:val="clear" w:color="auto" w:fill="FFFFFF"/>
        <w:spacing w:line="240" w:lineRule="auto"/>
        <w:jc w:val="center"/>
        <w:rPr>
          <w:rFonts w:ascii="Times New Roman" w:eastAsia="Times New Roman" w:hAnsi="Times New Roman" w:cs="Times New Roman"/>
          <w:sz w:val="21"/>
          <w:szCs w:val="21"/>
        </w:rPr>
      </w:pPr>
      <w:r w:rsidRPr="00EE66E7">
        <w:rPr>
          <w:rFonts w:ascii="Calibri" w:eastAsia="Times New Roman" w:hAnsi="Calibri" w:cs="Calibri" w:hint="cs"/>
          <w:b/>
          <w:bCs/>
          <w:sz w:val="28"/>
          <w:szCs w:val="28"/>
          <w:rtl/>
          <w:lang w:bidi="ar-SA"/>
        </w:rPr>
        <w:t>باسمه تعالی</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Calibri" w:eastAsia="Times New Roman" w:hAnsi="Calibri" w:cs="Calibri" w:hint="cs"/>
          <w:sz w:val="26"/>
          <w:szCs w:val="26"/>
          <w:rtl/>
        </w:rPr>
        <w:t>هیأت رئیسه محترم مجلس شورای اسلامی</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با سلام و احترام</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اجرای تبصره (1) ماده (107) قانون آیین‌نامه داخلی مجلس شورای اسلامی، به ‌پیوست گزارش کمیسیون </w:t>
      </w:r>
      <w:r w:rsidRPr="00EE66E7">
        <w:rPr>
          <w:rFonts w:ascii="Calibri" w:eastAsia="Times New Roman" w:hAnsi="Calibri" w:cs="Calibri" w:hint="cs"/>
          <w:sz w:val="28"/>
          <w:szCs w:val="28"/>
          <w:rtl/>
        </w:rPr>
        <w:t>عمران</w:t>
      </w:r>
      <w:r w:rsidRPr="00EE66E7">
        <w:rPr>
          <w:rFonts w:ascii="Calibri" w:eastAsia="Times New Roman" w:hAnsi="Calibri" w:cs="Calibri" w:hint="cs"/>
          <w:sz w:val="28"/>
          <w:szCs w:val="28"/>
          <w:rtl/>
          <w:lang w:bidi="ar-SA"/>
        </w:rPr>
        <w:t>  پیرامون «</w:t>
      </w:r>
      <w:r w:rsidRPr="00EE66E7">
        <w:rPr>
          <w:rFonts w:ascii="Calibri" w:eastAsia="Times New Roman" w:hAnsi="Calibri" w:cs="Calibri" w:hint="cs"/>
          <w:b/>
          <w:bCs/>
          <w:sz w:val="28"/>
          <w:szCs w:val="28"/>
          <w:rtl/>
        </w:rPr>
        <w:t>ارزیابی عملکرد گذرگاه‌های مرزی و ترانزیتی زمینی با تمرکز بر روانسازی و تسهیل عبور و مرر ناوگان حمل و نقل بار</w:t>
      </w:r>
      <w:r w:rsidRPr="00EE66E7">
        <w:rPr>
          <w:rFonts w:ascii="Calibri" w:eastAsia="Times New Roman" w:hAnsi="Calibri" w:cs="Calibri" w:hint="cs"/>
          <w:sz w:val="28"/>
          <w:szCs w:val="28"/>
          <w:rtl/>
          <w:lang w:bidi="ar-SA"/>
        </w:rPr>
        <w:t>» جهت قرائت در جلسه علنی مجلس شورای اسلامی تقدیم می‌گردد.</w:t>
      </w:r>
    </w:p>
    <w:p w:rsidR="00EE66E7" w:rsidRPr="00EE66E7" w:rsidRDefault="00EE66E7" w:rsidP="00EE66E7">
      <w:pPr>
        <w:shd w:val="clear" w:color="auto" w:fill="FFFFFF"/>
        <w:spacing w:line="240" w:lineRule="auto"/>
        <w:jc w:val="center"/>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Calibri" w:eastAsia="Times New Roman" w:hAnsi="Calibri" w:cs="Calibri"/>
          <w:b/>
          <w:bCs/>
          <w:sz w:val="24"/>
          <w:szCs w:val="24"/>
          <w:rtl/>
        </w:rPr>
        <w:t>                                                                                                                                                                 </w:t>
      </w:r>
      <w:r w:rsidRPr="00EE66E7">
        <w:rPr>
          <w:rFonts w:ascii="Calibri" w:eastAsia="Times New Roman" w:hAnsi="Calibri" w:cs="Calibri" w:hint="cs"/>
          <w:b/>
          <w:bCs/>
          <w:color w:val="000000"/>
          <w:sz w:val="24"/>
          <w:szCs w:val="24"/>
          <w:rtl/>
        </w:rPr>
        <w:t xml:space="preserve">محمدرضا رضایی </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Calibri" w:eastAsia="Times New Roman" w:hAnsi="Calibri" w:cs="Calibri" w:hint="cs"/>
          <w:b/>
          <w:bCs/>
          <w:color w:val="000000"/>
          <w:sz w:val="24"/>
          <w:szCs w:val="24"/>
          <w:rtl/>
        </w:rPr>
        <w:t>                                                                                                                                                                                   رئیس کمیسیون</w:t>
      </w:r>
      <w:r w:rsidRPr="00EE66E7">
        <w:rPr>
          <w:rFonts w:ascii="Calibri" w:eastAsia="Times New Roman" w:hAnsi="Calibri" w:cs="Calibri" w:hint="cs"/>
          <w:b/>
          <w:bCs/>
          <w:color w:val="000000"/>
          <w:sz w:val="26"/>
          <w:szCs w:val="26"/>
          <w:rtl/>
        </w:rPr>
        <w:t xml:space="preserve"> عمران</w:t>
      </w:r>
    </w:p>
    <w:p w:rsidR="00EE66E7" w:rsidRPr="00EE66E7" w:rsidRDefault="00EE66E7" w:rsidP="00EE66E7">
      <w:pPr>
        <w:shd w:val="clear" w:color="auto" w:fill="FFFFFF"/>
        <w:spacing w:after="0" w:line="240" w:lineRule="auto"/>
        <w:ind w:right="720"/>
        <w:jc w:val="center"/>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after="0" w:line="240" w:lineRule="auto"/>
        <w:ind w:right="720"/>
        <w:jc w:val="center"/>
        <w:rPr>
          <w:rFonts w:ascii="Times New Roman" w:eastAsia="Times New Roman" w:hAnsi="Times New Roman" w:cs="Times New Roman"/>
          <w:sz w:val="21"/>
          <w:szCs w:val="21"/>
          <w:rtl/>
        </w:rPr>
      </w:pPr>
      <w:r w:rsidRPr="00EE66E7">
        <w:rPr>
          <w:rFonts w:ascii="Calibri" w:eastAsia="Times New Roman" w:hAnsi="Calibri" w:cs="Calibri" w:hint="cs"/>
          <w:sz w:val="26"/>
          <w:szCs w:val="26"/>
          <w:rtl/>
          <w:lang w:bidi="ar-SA"/>
        </w:rPr>
        <w:t>گزارش ارزیابی عملکرد گذرگاه‌های مرزی و ترانزیتی زمینی با تمرکز بر روانسازی و تسهیل عبور ومرر ناوگان حمل و نقل بار</w:t>
      </w:r>
    </w:p>
    <w:p w:rsidR="00EE66E7" w:rsidRPr="00EE66E7" w:rsidRDefault="00EE66E7" w:rsidP="00EE66E7">
      <w:pPr>
        <w:shd w:val="clear" w:color="auto" w:fill="FFFFFF"/>
        <w:spacing w:after="0" w:line="240" w:lineRule="auto"/>
        <w:ind w:right="720"/>
        <w:jc w:val="center"/>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پی شکل‌گیری صف‌های طولانی ناوگان باری در برخی گذرگاه‌های مرزی، کمیسیون عمران با دستور جناب آقای دکتر قالیباف رئیس محترم مجلس شورای اسلامی، از گذرگاه‌های مرزی بازدید میدانی به عمل آورد. گزارش حاضر حاصل بررسی‌های انجام‌شده و جمع‌بندی نتایج این بازدیدها و بررسی‌هاست.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ایران از نظر جغرافیایی در نقطه اتصال بخش مهمی از حوزه‌های اقتصادی و تجاری منطقه قرار گرفته و از ظرفیت قابل‌توجهی برای ایفای نقش در ترانزیت بین‌المللی برخوردار است. با این حال، موقعیت جغرافیایی به‌تنهایی مزیت ترانزیتی ایجاد نمی‌کند. زمان عبور، هزینه، قابلیت پیش‌بینی، امنیت، کیفیت خدمات، ثبات مقررات و نحوه مدیریت مسیر، همگی در انتخاب یک کریدور از سوی صاحبان کالا و شرکت‌های حمل‌ونقل مؤثرند.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سال‌های اخیر، استفاده از ظرفیت ترانزیتی کشور با مشکلات متعددی در مرزها روبه‌رو شده است؛ از توقف ناوگان و محدودیت ظرفیت گرفته تا تعدد و گاه تعارض مقررات، کنترل‌های موازی و ضعف هماهنگی میان دستگاه‌های ذی‌ربط. بنابراین، مسئله را نمی‌توان فقط در وضعیت یک مرز یا عملکرد یک پایانه جست‌وجو کرد. گلوگاه مرزی در بسیاری از موارد، نتیجه اختلال در زنجیره‌ای است که از ورود ناوگان و انجام فرآیندهای اداری آغاز می‌شود و تا کنترل، عبور و خروج از کشور ادامه دارد. از سوی دیگر، رقابت منطقه‌ای برای جذب بار در حال افزایش است و مسیرهای رقیب، از جمله مسیرهای عبوری از ترکیه، قفقاز و سایر کریدورها، در حال توسعه هستند. هرچه زمان و هزینه عبور از مسیر ایران افزایش یابد، احتمال تغییر مسیر صاحبان کالا و شرکت‌های حمل‌ونقل نیز بیشتر خواهد شد.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lastRenderedPageBreak/>
        <w:t xml:space="preserve">در روزهای توقف ناوگان در مرز، هزینه سرمایه، دستمزد راننده، سوخت، تعمیر و نگهداری و هزینه فرصت همچنان وجود دارد، در حالی که کامیون در حال ارائه خدمت نیست. این وضعیت برای ناوگان یخچالی و کالاهای فسادپذیر آثار بیشتری دارد. بر اساس گزارش‌های میدانی، در برخی موارد توقف ناوگان تا حدود </w:t>
      </w:r>
      <w:r w:rsidRPr="00EE66E7">
        <w:rPr>
          <w:rFonts w:ascii="Calibri" w:eastAsia="Times New Roman" w:hAnsi="Calibri" w:cs="Calibri" w:hint="cs"/>
          <w:sz w:val="28"/>
          <w:szCs w:val="28"/>
          <w:rtl/>
        </w:rPr>
        <w:t>۴۰</w:t>
      </w:r>
      <w:r w:rsidRPr="00EE66E7">
        <w:rPr>
          <w:rFonts w:ascii="Calibri" w:eastAsia="Times New Roman" w:hAnsi="Calibri" w:cs="Calibri" w:hint="cs"/>
          <w:sz w:val="28"/>
          <w:szCs w:val="28"/>
          <w:rtl/>
          <w:lang w:bidi="ar-SA"/>
        </w:rPr>
        <w:t xml:space="preserve"> روز گزارش شده و هزینه روزانه هر کامیون نیز تا </w:t>
      </w:r>
      <w:r w:rsidRPr="00EE66E7">
        <w:rPr>
          <w:rFonts w:ascii="Calibri" w:eastAsia="Times New Roman" w:hAnsi="Calibri" w:cs="Calibri" w:hint="cs"/>
          <w:sz w:val="28"/>
          <w:szCs w:val="28"/>
          <w:rtl/>
        </w:rPr>
        <w:t>۱۰۰</w:t>
      </w:r>
      <w:r w:rsidRPr="00EE66E7">
        <w:rPr>
          <w:rFonts w:ascii="Calibri" w:eastAsia="Times New Roman" w:hAnsi="Calibri" w:cs="Calibri" w:hint="cs"/>
          <w:sz w:val="28"/>
          <w:szCs w:val="28"/>
          <w:rtl/>
          <w:lang w:bidi="ar-SA"/>
        </w:rPr>
        <w:t xml:space="preserve"> دلار برآورد شده است. استمرار چنین شرایطی می‌تواند جذابیت مسیر ایران را برای صاحبان کالا و شرکت‌های حمل‌ونقل کاهش دهد و بار را به سمت مسیرهای رقیب سوق دهد. از این رو، رفع مشکل با افزایش ظرفیت فیزیکی یک مرز یا اضافه کردن چند گیت به پایان نمی‌رسد. اصلاح فرآیندها، مدیریت هوشمند ریسک، توسعه زیرساخت، استفاده از ظرفیت بخش خصوصی، اصلاح ساختار ناوگان، تنوع‌بخشی به مسیرها و هماهنگی میان دستگاه‌های داخلی و کشورهای طرف مسیر، همگی بخشی از راه‌حل هستند.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مجموع، مسئله را باید در دو سطح دید: در کوتاه‌مدت، باید گلوگاه‌های موجود برطرف و زمان توقف ناوگان کاهش یابد؛ در سطح ساختاری نیز لازم است فرآیندها و شیوه حکمرانی ترانزیت اصلاح شود تا همین مشکلات دوباره در نقطه‌ای دیگر از زنجیره تکرار نشود.</w:t>
      </w:r>
    </w:p>
    <w:p w:rsidR="00EE66E7" w:rsidRPr="00EE66E7" w:rsidRDefault="00EE66E7" w:rsidP="00EE66E7">
      <w:pPr>
        <w:shd w:val="clear" w:color="auto" w:fill="FFFFFF"/>
        <w:spacing w:line="240" w:lineRule="auto"/>
        <w:ind w:right="720"/>
        <w:rPr>
          <w:rFonts w:ascii="Times New Roman" w:eastAsia="Times New Roman" w:hAnsi="Times New Roman" w:cs="Times New Roman"/>
          <w:sz w:val="21"/>
          <w:szCs w:val="21"/>
          <w:rtl/>
        </w:rPr>
      </w:pPr>
      <w:r w:rsidRPr="00EE66E7">
        <w:rPr>
          <w:rFonts w:ascii="Calibri" w:eastAsia="Times New Roman" w:hAnsi="Calibri" w:cs="Calibri" w:hint="cs"/>
          <w:sz w:val="24"/>
          <w:szCs w:val="24"/>
          <w:rtl/>
          <w:lang w:bidi="ar-SA"/>
        </w:rPr>
        <w:t>بخش دوم: یافته‌های آسیب‌شناسی و علل بروز گلوگاه‌های ترانزیتی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w:t>
      </w:r>
      <w:r w:rsidRPr="00EE66E7">
        <w:rPr>
          <w:rFonts w:ascii="Calibri" w:eastAsia="Times New Roman" w:hAnsi="Calibri" w:cs="Calibri" w:hint="cs"/>
          <w:b/>
          <w:bCs/>
          <w:sz w:val="28"/>
          <w:szCs w:val="28"/>
          <w:rtl/>
          <w:lang w:bidi="ar-SA"/>
        </w:rPr>
        <w:t xml:space="preserve"> اختلال در زنجیره ورود تا خروج ناوگان و انتقال صف از سامانه به مرز</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یکی از مشکلات موجود، نبود سازوکاری است که ورود ناوگان به فرآیند ترانزیت را با ظرفیت واقعی پردازش در مسیر هماهنگ کند. در نتیجه، بخشی از مشکلات سامانه‌ای و اداری، به‌جای آنکه پیش از حرکت کامیون حل شود، در نهایت خود را به شکل تجمع ناوگان در مرز نشان می‌دهد.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ارتباط میان تعهدات ارزی، کارت بازرگانی، گمرک، بیجک و سامانه‌های نوبت‌دهی نیز فرآیند را پیچیده کرده است. هرگاه یکی از این حلقه‌ها دچار اختلال شود، اثر آن می‌تواند به توقف کل زنجیره و در نهایت کامیون منجر شود.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در بیشتر موارد، صاحبان کالا برای حل مشکلات مربوط به رفع تعهد ارزی، به استفاده از کارت بازرگانی اجاره‌ای روی آورده‌اند و هزینه اجاره کارت در مرز ارزانتر از مبداء است. در این وضعیت، انجام فرآیند در مرز برای آنان کم‌هزینه‌تر از انجام آن در مبدأ می‌باشد. از طرف دیگر، صدور بیجک و ثبت نوبت نیز به کارت بازرگانی وابسته است. نتیجه آن می‌تواند این باشد که کامیون ابتدا حرکت کند، در مرز به دنبال کارت بازرگانی اجاره‌ای برود و پس از آن، فرآیند ثبت نوبت را تکمیل کند.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به این ترتیب، ظرفیت نوبت‌دهی برخط در مبدأ عملاً استفاده نمی‌شود و کامیون بدون نوبت مؤثر به مرز می‌رسد. صفی که در مرز دیده می‌شود، در چنین شرایطی فقط حاصل کمبود ظرفیت فیزیکی نیست؛ بخشی از آن از نحوه اتصال سیاست رفع تعهد ارزی، کارت بازرگانی، بیجک و نوبت‌دهی ناشی می‌شود. در برخی موارد، ناوگان محلی در اولویت قرار می‌گیرد که می‌تواند زمینه شکل‌گیری بازار نوبت و صف را ایجاد کند. بنابراین، معیارهای اولویت‌دهی ونوبت دهی باید روشن، قابل ثبت و قابل نظارت باشد و برای همه ذی‌نفعان به‌صورت یکسان اعمال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۲.۲.</w:t>
      </w:r>
      <w:r w:rsidRPr="00EE66E7">
        <w:rPr>
          <w:rFonts w:ascii="Calibri" w:eastAsia="Times New Roman" w:hAnsi="Calibri" w:cs="Calibri" w:hint="cs"/>
          <w:b/>
          <w:bCs/>
          <w:sz w:val="28"/>
          <w:szCs w:val="28"/>
          <w:rtl/>
          <w:lang w:bidi="ar-SA"/>
        </w:rPr>
        <w:t xml:space="preserve"> تعدد، پراکندگی و گاه تعارض مقررات و عدم همسویی آنها با نیاز فعالان اقتصادی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مراحل مختلف ترانزیت، مقررات و دستورالعمل‌های متعددی از سوی دستگاه‌های گوناگون اعمال می‌شود. تعدد این مقررات مسئولیت‌ها را مبهم و زمینه برداشت‌های متفاوت و اعمال سلیقه‌ای را فراهم می‌کند؛ مثلاً کالایی ممکن است در مرحله‌ای از سوی گمرک فسادپذیر یا یخچالی تلقی شود و در مرحله‌ای دیگر نشود، که به ضوابط متفاوت و تحمیل زمان و هزینه بیشتر می‌انجامد. راه‌حل، حذف کنترل‌های ضروری نیست؛ مسئله اصلی کنترل‌های تکراری، موازی و فاقد ارزش افزوده است. قواعد ترانزیتی باید یکپارچه و روشن باشد و مسئولیت هر مرحله مشخص شود. در این چارچوب، کارآمدی نظام مقررات‌زدایی اهمیت اساسی دارد</w:t>
      </w:r>
      <w:r w:rsidRPr="00EE66E7">
        <w:rPr>
          <w:rFonts w:ascii="Calibri" w:eastAsia="Times New Roman" w:hAnsi="Calibri" w:cs="Calibri"/>
          <w:sz w:val="28"/>
          <w:szCs w:val="28"/>
        </w:rPr>
        <w:t>.</w:t>
      </w:r>
      <w:r w:rsidRPr="00EE66E7">
        <w:rPr>
          <w:rFonts w:ascii="Calibri" w:eastAsia="Times New Roman" w:hAnsi="Calibri" w:cs="Calibri" w:hint="cs"/>
          <w:sz w:val="28"/>
          <w:szCs w:val="28"/>
          <w:rtl/>
          <w:lang w:bidi="ar-SA"/>
        </w:rPr>
        <w:t xml:space="preserve"> لذا </w:t>
      </w:r>
      <w:r w:rsidRPr="00EE66E7">
        <w:rPr>
          <w:rFonts w:ascii="Calibri" w:eastAsia="Times New Roman" w:hAnsi="Calibri" w:cs="Calibri" w:hint="cs"/>
          <w:sz w:val="28"/>
          <w:szCs w:val="28"/>
          <w:rtl/>
          <w:lang w:bidi="ar-SA"/>
        </w:rPr>
        <w:lastRenderedPageBreak/>
        <w:t>کشور به هیأت مقررات‌زدایی مقتدر، اثربخش و چابک نیاز دارد؛ نهادی که در حدود اختیارات قانونی خود مقررات زائد را شناسایی، حذف یا اصلاح کند و نگذارد رفع موانع به چرخه‌ای طولانی از ارجاع میان دستگاه‌ها تبدیل شود، به‌گونه‌ای که دستگاه وضع‌کننده مقرره نتواند حذف یا اصلاح آن را بی‌دلیل به تأخیر اندازد. این هیأت قانوناً برای شناسایی، حذف یا اصلاح مقررات زائد تشکیل شده و در موارد لازم می‌تواند موضوع را برای تصمیم‌گیری فوری به هیأت وزیران ارائه کند؛ با این حال، در عمل گاهی مقرره زائد دوباره به دستگاه وضع‌کننده ارجاع و حذف یا اصلاح آن عملاً به همان دستگاه واگذار می‌شود و این رویه از اقتدار و اثربخشی سازوکار مقررات‌زدایی می‌کاهد. لازم است سازوکار قانونی به نحوی اجرا شود که مقررات زائد در مهلت مشخص تعیین تکلیف شوند و موارد فوری بدون تأخیر در مسیر تصمیم‌گیری هیأت وزیران قرار گیرند. فعال شدن واقعی این ظرفیت مانع انباشته شدن تدریجی مقررات زائد و تبدیل آنها به بخشی ثابت از فرآیند ترانزیت خواهد شد</w:t>
      </w:r>
      <w:r w:rsidRPr="00EE66E7">
        <w:rPr>
          <w:rFonts w:ascii="Calibri" w:eastAsia="Times New Roman" w:hAnsi="Calibri" w:cs="Calibri"/>
          <w:sz w:val="28"/>
          <w:szCs w:val="28"/>
        </w:rPr>
        <w:t>.</w:t>
      </w:r>
      <w:r w:rsidRPr="00EE66E7">
        <w:rPr>
          <w:rFonts w:ascii="Calibri" w:eastAsia="Times New Roman" w:hAnsi="Calibri" w:cs="Calibri"/>
          <w:sz w:val="28"/>
          <w:szCs w:val="28"/>
          <w:rtl/>
        </w:rPr>
        <w:t xml:space="preserve"> در کنار هیأت مقررات‌زدایی سازوکاری چابک و همسو با نیاز فعالان اقتصادی نیاز است تا درخواست‌های فوری تشکل‌های بخش خصوصی را با سرعت بررسی و به تصمیم اجرایی تبدیل کند. قانونگذار کمیته موضوع ماده ۲ قانون بهبود مستمر محیط کسب‌وکار را پیش بینی نموده اما طولانی شدن فرآیند بررسی و اقدام در این کمیته و مراحل بعدی عملا این سازو کار را منفعل نموده است. بررسیهای موجود نشان می‌دهد این سازوکارها از چابکی و اثربخشی کافی برخوردار نیستند و فرآیند تصمیم‌گیری و پیگیری اجرای تصمیمات آنها نیازمند بازنگری است.</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۲.۳.</w:t>
      </w:r>
      <w:r w:rsidRPr="00EE66E7">
        <w:rPr>
          <w:rFonts w:ascii="Calibri" w:eastAsia="Times New Roman" w:hAnsi="Calibri" w:cs="Calibri" w:hint="cs"/>
          <w:b/>
          <w:bCs/>
          <w:sz w:val="28"/>
          <w:szCs w:val="28"/>
          <w:rtl/>
          <w:lang w:bidi="ar-SA"/>
        </w:rPr>
        <w:t xml:space="preserve"> ظرفیت واقعی مرزها و ضرورت نگاه زنجیره‌ای به ظرفیت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مرز بازرگان، درباره عدم تناسب میان ظرفیت پذیرش طرف ترکیه و تعداد کامیون‌های منتظر در سمت ایران گزارش‌هایی ارائه شده است؛ به‌گونه‌ای که در برخی گزارش‌ها، پذیرش اسمی حدود </w:t>
      </w:r>
      <w:r w:rsidRPr="00EE66E7">
        <w:rPr>
          <w:rFonts w:ascii="Calibri" w:eastAsia="Times New Roman" w:hAnsi="Calibri" w:cs="Calibri" w:hint="cs"/>
          <w:sz w:val="28"/>
          <w:szCs w:val="28"/>
          <w:rtl/>
        </w:rPr>
        <w:t>۲۸۰</w:t>
      </w:r>
      <w:r w:rsidRPr="00EE66E7">
        <w:rPr>
          <w:rFonts w:ascii="Calibri" w:eastAsia="Times New Roman" w:hAnsi="Calibri" w:cs="Calibri" w:hint="cs"/>
          <w:sz w:val="28"/>
          <w:szCs w:val="28"/>
          <w:rtl/>
          <w:lang w:bidi="ar-SA"/>
        </w:rPr>
        <w:t xml:space="preserve"> دستگاه در مقابل صفی در حدود </w:t>
      </w:r>
      <w:r w:rsidRPr="00EE66E7">
        <w:rPr>
          <w:rFonts w:ascii="Calibri" w:eastAsia="Times New Roman" w:hAnsi="Calibri" w:cs="Calibri" w:hint="cs"/>
          <w:sz w:val="28"/>
          <w:szCs w:val="28"/>
          <w:rtl/>
        </w:rPr>
        <w:t>۳۰۰۰</w:t>
      </w:r>
      <w:r w:rsidRPr="00EE66E7">
        <w:rPr>
          <w:rFonts w:ascii="Calibri" w:eastAsia="Times New Roman" w:hAnsi="Calibri" w:cs="Calibri" w:hint="cs"/>
          <w:sz w:val="28"/>
          <w:szCs w:val="28"/>
          <w:rtl/>
          <w:lang w:bidi="ar-SA"/>
        </w:rPr>
        <w:t xml:space="preserve"> دستگاه مطرح شده است. این ارقام نشان می‌دهد که ظرفیت واقعی مرز را نمی‌توان با تعداد گیت یا ظرفیت اسمی یک پایانه سنجید. ظرفیت نهایی به عملکرد کل زنجیره بستگی دارد: ورود، کنترل، ارزیابی، گمرک، خروج و در نهایت ظرفیت پذیرش کشور مقابل. همین نگاه باید در مرزهایی مانند مهران و ریمدان نیز اعمال شود. اگر فقط یک حلقه توسعه پیدا کند، بدون آنکه سایر حلقه‌ها متناسب با آن افزایش ظرفیت داشته باشند، صف صرفاً از یک نقطه به نقطه دیگری منتقل می‌شود.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ضمنا در خصوص بازرگان، دولت استاندار آذربایجان غربی را به‌عنوان مدیر هماهنگ‌کننده تعیین کرده است. عملکرد این سازوکار باید پس از یک دوره مشخص و با شاخص‌های قابل اندازه‌گیری ارزیابی شود.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البته در اینجا دو نکته باید هم‌زمان دیده شود. نخست، بخش مهمی از عوامل ایجاد صف ناشی از مقررات و تنظیمات ملی است و در اختیار مدیر محلی قرار ندارد؛ بنابراین، ستاد ملی ترانزیت و مرجع ملی ذی‌صلاح همچنان باید نقش خود را حفظ کنند. دوم، برخی مشکلات ملی ممکن است از تصمیمات یا ترتیبات محلی ناشی شده باشد. مدیر محلی نیز ممکن است در عمل نتواند به‌سادگی از برخی امتیازات محلی، از جمله استفاده از اماکن و محوطه‌ها یا نحوه تخصیص ظرفیت صف به ناوگان و اشخاص محلی، صرف‌نظر کند.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به همین دلیل، مدیریت محلی باید در چارچوب شاخص‌های ملی، شفافیت، عدم تبعیض و نظارت بین‌بخشی انجام شود.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ریمدان، سه محدوده شامل منطقه آزاد، پایانه حمل‌ونقل جاده‌ای و بازارچه مرزی وجود دارد که هر یک در عمل مسیر جداگانه‌ای برای تردد کامیون ایجاد نموده‌اند. نبود مدیریت یکپارچه میان این مسیرها، هم مسئولیت‌ها را پراکنده می‌کند و هم نظارت را دشوارتر. در حال حاضر بخشی از کامیون‌ها با هماهنگی استانداری از مسیر بازارچه، بخشی از طریق پایانه </w:t>
      </w:r>
      <w:r w:rsidRPr="00EE66E7">
        <w:rPr>
          <w:rFonts w:ascii="Calibri" w:eastAsia="Times New Roman" w:hAnsi="Calibri" w:cs="Calibri" w:hint="cs"/>
          <w:sz w:val="28"/>
          <w:szCs w:val="28"/>
          <w:rtl/>
          <w:lang w:bidi="ar-SA"/>
        </w:rPr>
        <w:lastRenderedPageBreak/>
        <w:t>حمل‌ونقل و بخشی نیز از محدوده تحت کنترل منطقه آزاد عبور می‌کنند. لازم است این مسیرها در قالب یک فرآیند هماهنگ مدیریت شوند و مسئولیت هر دستگاه روشن باشد.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با توجه به زیرساخت، موقعیت جغرافیایی، نوع تجارت و نوع کالا، می‌توان برخی گذرگاه‌ها را برای ترانزیت و عبور مستقیم و برخی دیگر را برای کالاهای فوری، فسادپذیر، تجاری یا خدمات خاص اختصاص داد. تراکم یک گروه کالایی نباید موجب توقف جریان عمومی ترانزیت شود. این تصمیم باید در سطح شبکه و بر اساس ظرفیت واقعی گذرگاه‌ها اتخاذ شود، نه صرفاً بر مبنای تقسیمات اداری یا رویه‌های موجود. البته باید توجه داشت که تخصصی‌سازی گذرگاه‌ها و تفکیک جریان‌های حمل‌ونقلی نیز می‌تواند بخشی از راه‌حل باشد ولی همه مرزها الزاماً نباید با یک الگوی واحد فعالیت کنند.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۲.۴.</w:t>
      </w:r>
      <w:r w:rsidRPr="00EE66E7">
        <w:rPr>
          <w:rFonts w:ascii="Calibri" w:eastAsia="Times New Roman" w:hAnsi="Calibri" w:cs="Calibri" w:hint="cs"/>
          <w:b/>
          <w:bCs/>
          <w:sz w:val="28"/>
          <w:szCs w:val="28"/>
          <w:rtl/>
          <w:lang w:bidi="ar-SA"/>
        </w:rPr>
        <w:t xml:space="preserve"> کنترل مواد مخدر عاملی اصلی در کاهش ظرفیت پذیرش بویژه در مرز بازرگان</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با احداث دیوار مرزی ترکیه، عبور مواد مخدر با منشأ افغانستان و کشورهای آسیای میانه از مسیر ایران، عمدتاً به گذرگاه‌های رسمی محدود شده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تشدید بازرسی‌های طرف ترک و تحمیل هزینه‌های سنگین تخلیه و بارگیری مجدد کامیون‌ها در محوطه‌های موسوم به هانگار، ضمن کاهش ظرفیت پذیرش مرزی، موجب افزایش زمان و هزینه ترانزیت و آسیب به کالاها و اعتبار تجاری ایران شده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با این حال، سودآوری بالای قاچاق همچنان مانع از توقف کامل این پدیده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در این راستا، پیشنهاد می‌شود با سرمایه‌گذاری و مدیریت اتاق‌های بازرگانی و تحت نظارت حاکمیتی، محوطه‌های ایزوله و مجهز بازرسی در داخل گذرگاه‌های مرزی ایران احداث و بازرسی‌های دقیق و نظام‌مند پیش از خروج کامیون‌ها انجام شود</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تأمین هزینه‌های اجرایی از محل وجوه دریافتی از صاحبان کالا و استقرار نظام انگیزشی مبتنی بر پرداخت حق‌الکشف به مأموران بازرسی و اطلاعاتی مؤثر در کشف محموله‌های قاچاق، در کنار اعمال جریمه‌های بازدارنده متناسب با حق‌الکشف پرداختی طرف ترک در موارد کشف محموله‌های قاچاق در خاک آن کشور، از الزامات موفقیت این طرح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اجرای این راهکار، ضمن توسعه زیرساخت‌های مرزی، صیانت از منافع تجار ایرانی و ارتقای اثربخشی مقابله با قاچاق مواد مخدر، می‌تواند با کاهش کشفیات محموله‌های قاچاق در خاک ترکیه و متعاقباً کاهش ضرورت بازرسی‌های مجدد، زمینه کاهش صف‌های کامیونی، افزایش ظرفیت پذیرش مرزی و تسهیل ترانزیت کالا به اروپا و سایر مقاصد بین‌المللی را فراهم سازد</w:t>
      </w:r>
      <w:r w:rsidRPr="00EE66E7">
        <w:rPr>
          <w:rFonts w:ascii="Calibri" w:eastAsia="Times New Roman" w:hAnsi="Calibri" w:cs="Calibri"/>
          <w:sz w:val="28"/>
          <w:szCs w:val="28"/>
        </w:rPr>
        <w:t>.</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۲.۵.</w:t>
      </w:r>
      <w:r w:rsidRPr="00EE66E7">
        <w:rPr>
          <w:rFonts w:ascii="Calibri" w:eastAsia="Times New Roman" w:hAnsi="Calibri" w:cs="Calibri" w:hint="cs"/>
          <w:b/>
          <w:bCs/>
          <w:sz w:val="28"/>
          <w:szCs w:val="28"/>
          <w:rtl/>
          <w:lang w:bidi="ar-SA"/>
        </w:rPr>
        <w:t xml:space="preserve"> ضعف کنترل امنیتی محوطه و صف و مخاطرات ناشی از آن</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امنیت محل‌های توقف و صف کامیون‌ها، بخشی از امنیت کل زنجیره ترانزیت است. هرچه مدت توقف در محوطه‌هایی که کنترل تردد، دوربین، ثبت ورود و خروج و نظارت یکپارچه ندارند بیشتر شود، امکان سوءاستفاده نیز افزایش پیدا می‌کند. بنابراین، تأمین امنیت محوطه‌های توقف و صف باید پیش‌شرط قابل اتکای استمرار عملیات ترانزیتی تلقی شود و نه موضوعی فرعی در کنار کنترل گیت. یکی از سناریوهای قابل توجه، قرار دادن مواد مخدر یا اقلام ممنوعه در کامیون یا محموله بدون اطلاع راننده یا مالک است؛ به‌ویژه اگر سازوکار سوت‌زنی در کشور مقصد یا کشور مقابل به‌گونه‌ای باشد که برای گزارش چنین مواردی پاداش در نظر گرفته شود. در چنین شرایطی، اگر امنیت محوطه و کنترل دسترسی به کامیون‌ها کافی نباشد، امکان شکل‌گیری سناریوهای ساختگی، تبانی یا سوءاستفاده از سازوکار پاداش سوت‌زنی در کشور مقابل وجود خواهد داشت؛ به‌گونه‌ای که اقلام ممنوعه یا آثار تخلف بدون اطلاع دارنده وسیله نقلیه در کامیون قرار گیرد و سپس گزارش آن در کشور مقابل موجب برخورد، توقیف یا تحمیل هزینه و تبعات حقوقی و اقتصادی به راننده، مالک یا شرکت حمل‌ونقل شود. این موضوع صرفاً یک </w:t>
      </w:r>
      <w:r w:rsidRPr="00EE66E7">
        <w:rPr>
          <w:rFonts w:ascii="Calibri" w:eastAsia="Times New Roman" w:hAnsi="Calibri" w:cs="Calibri" w:hint="cs"/>
          <w:sz w:val="28"/>
          <w:szCs w:val="28"/>
          <w:rtl/>
          <w:lang w:bidi="ar-SA"/>
        </w:rPr>
        <w:lastRenderedPageBreak/>
        <w:t>مسئله امنیتی نیست، بلکه می‌تواند به اعتبار تجارت خارجی کشور و قابلیت اتکای مسیر ترانزیتی نیز آسیب وارد کند. از این رو، طراحی نظام سوت‌زنی باید هم‌زمان دو هدف را دنبال کند: ایجاد منفعت و حمایت واقعی برای گزارش تخلف معتبر و جلوگیری از شکل‌گیری انگیزه برای تبانی، گزارش ساختگی یا ایجاد عمدی شرایط تخلف. امنیت محوطه صف بنابراین باید بخشی از نظام مدیریت ریسک باشد. ثبت ورود و خروج، کنترل تردد، دوربین‌های نظارتی، تعیین محل‌های مجاز توقف، پایش توقف‌های غیرعادی و امکان بازسازی مسیر حرکت کامیون، از جمله اقداماتی است که می‌تواند این خلأ را پوشش دهد. گزارش‌های معتبر که به کشف تخلف منجر می‌شوند باید فرآیند روشن و قابل ردیابی برای بررسی و پرداخت پاداش داشته باشند. در عین حال، اعتبارسنجی گزارش، ثبت شواهد و بازسازی مسیر تردد باید به‌گونه‌ای باشد که امکان سوءاستفاده از سازوکار پاداش و شکل‌گیری گزارش‌های ساختگی یا تبانی کاهش یابد.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۲.۶.</w:t>
      </w:r>
      <w:r w:rsidRPr="00EE66E7">
        <w:rPr>
          <w:rFonts w:ascii="Calibri" w:eastAsia="Times New Roman" w:hAnsi="Calibri" w:cs="Calibri" w:hint="cs"/>
          <w:b/>
          <w:bCs/>
          <w:sz w:val="28"/>
          <w:szCs w:val="28"/>
          <w:rtl/>
          <w:lang w:bidi="ar-SA"/>
        </w:rPr>
        <w:t xml:space="preserve"> ارزیابی و پلمب و نگرانی‌های ناشی از انتقال فرآیند به مبدأ</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انتقال بخشی از ارزیابی و پلمب از مرز به مبدأ یا انجام آن پس از پایانه، می‌تواند حجم عملیات در مرز را کاهش دهد؛ اما این کار بدون ایجاد زنجیره اعتماد، نتیجه مطلوب را نخواهد داشت. نگرانی گمرک درباره سلامت پلمب، احتمال دستکاری، تغییر محتویات و تعیین مسئولیت در صورت بروز مغایرت باید جدی گرفته شود. راه‌حل، بازگرداندن همه عملیات به نقطه صفر مرز نیست. می‌توان با ایجاد زنجیره اعتماد، رهگیری الکترونیکی، کنترل‌های تصادفی مبتنی بر ریسک، ضمانت‌های اجرایی و مجازات‌های بازدارنده، بخشی از عملیات را به مبدأ منتقل کرد.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۲.۷.</w:t>
      </w:r>
      <w:r w:rsidRPr="00EE66E7">
        <w:rPr>
          <w:rFonts w:ascii="Calibri" w:eastAsia="Times New Roman" w:hAnsi="Calibri" w:cs="Calibri" w:hint="cs"/>
          <w:b/>
          <w:bCs/>
          <w:sz w:val="28"/>
          <w:szCs w:val="28"/>
          <w:rtl/>
          <w:lang w:bidi="ar-SA"/>
        </w:rPr>
        <w:t xml:space="preserve"> تجهیزات کنترلی و مسئله کیفیت و کارآمدی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تولید داخلی تجهیزات ایکس‌ری و سایر تجهیزات کنترلی باید با توجه به کیفیت، کارآمدی و نیاز واقعی مورد حمایت قرار گیرد. داخلی بودن یک تجهیز، به‌تنهایی نباید مبنای پذیرش ظرفیت، دقت یا قابلیت اطمینان ناکافی آن باشد؛ به‌خصوص اگر تجهیز نامناسب باعث افزایش زمان عبور و آسیب به ترانزیت و اقتصاد کشور شود. برای این منظور، ارزیابی فنی تجهیزات باید مستقل باشد. در صورت نیاز، تجهیزات منطبق با استانداردهای معتبر خارجی نیز مطابق قوانین و مقررات مورد استفاده قرار گیرد. حمایت از تولید داخلی هم باید از مسیر ارتقای کیفیت، تحقیق و توسعه، رقابت و ارزیابی عملکرد دنبال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۲.۸.</w:t>
      </w:r>
      <w:r w:rsidRPr="00EE66E7">
        <w:rPr>
          <w:rFonts w:ascii="Calibri" w:eastAsia="Times New Roman" w:hAnsi="Calibri" w:cs="Calibri" w:hint="cs"/>
          <w:b/>
          <w:bCs/>
          <w:sz w:val="28"/>
          <w:szCs w:val="28"/>
          <w:rtl/>
          <w:lang w:bidi="ar-SA"/>
        </w:rPr>
        <w:t xml:space="preserve"> فرآیند باز کردن پلمب و تعیین مسئولیت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باز کردن پلمب برای بازرسی موردی باید مستند و قابل ردیابی باشد. علت باز کردن پلمب، زمان، مأمور مسئول، نتیجه بازرسی، نحوه پلمب مجدد و مسئولیت خسارت یا مغایرت احتمالی باید ثبت شود و فرآیند نیز تحت نظارت مستقل قرار گیرد. برای تخلف یا اقدام خارج از فرآیند تعیین‌شده در حوزه پلمب، سازوکار سوت‌زنی مبتنی بر پاداش باید پیش‌بینی شود. گزارش‌دهنده باید از حمایت لازم برخوردار باشد و مسیر رسیدگی و نتیجه گزارش نیز قابل پیگیری باشد. در صورت احراز تخلف، پاداش و حمایت مقرر باید به‌صورت روشن و طبق ضابطه اعمال شود. دامنه این سازوکار نباید به پلمب محدود بماند. تغییر غیرمجاز حجم یا مشخصات کالا، تغییر محتویات، دستکاری پلمب، تغییر سوابق، توقف‌های غیرعادی و مشکوک و تبانی نیز باید در همین چارچوب قرار گیرد. مجموعه این اقدامات باید بخشی از نظام جامع مدیریت ریسک باشد.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مورد محموله‌های ترانزیتی «گذر به گذر» که با اطمینان از عدم توقف و تخلیه در کشور از قلمرو ایران عبور می‌کنند، اصل باید بر استمرار مسیر و جلوگیری از توقف یا فک پلمب غیرضروری باشد. هرگونه توقف، بازرسی یا فک پلمب در این موارد، جز در شرایط استثنایی و </w:t>
      </w:r>
      <w:r w:rsidRPr="00EE66E7">
        <w:rPr>
          <w:rFonts w:ascii="Calibri" w:eastAsia="Times New Roman" w:hAnsi="Calibri" w:cs="Calibri" w:hint="cs"/>
          <w:sz w:val="28"/>
          <w:szCs w:val="28"/>
          <w:rtl/>
          <w:lang w:bidi="ar-SA"/>
        </w:rPr>
        <w:lastRenderedPageBreak/>
        <w:t>بر اساس فرآیندهای دقیق، مستند و سختگیرانه مبتنی بر ارزیابی ریسک، نباید انجام شود. در این نوع ترانزیت، مسئولیت تجاری و تحویل کالا در مبدأ و مقصدهای خارج از کشور تعریف می‌شود و مداخله غیرضروری در مسیر می‌تواند علاوه بر تحمیل هزینه به صاحبان کالا، به اعتبار ایران به‌عنوان مسیر قابل اتکای ترانزیتی منطقه‌ای آسیب وارد کند.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۲.۹.</w:t>
      </w:r>
      <w:r w:rsidRPr="00EE66E7">
        <w:rPr>
          <w:rFonts w:ascii="Calibri" w:eastAsia="Times New Roman" w:hAnsi="Calibri" w:cs="Calibri" w:hint="cs"/>
          <w:b/>
          <w:bCs/>
          <w:sz w:val="28"/>
          <w:szCs w:val="28"/>
          <w:rtl/>
          <w:lang w:bidi="ar-SA"/>
        </w:rPr>
        <w:t xml:space="preserve"> ضرورت تبدیل مرز از محل انجام فرآیندهای تجاری به محل عبور</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مرز در درجه نخست باید محل عبور باشد، نه محل انجام فرآیندهای تجاری و اداری‌ای که می‌توان آنها را پیش از رسیدن ناوگان به مرز انجام داد. هرچه اسناد، ارزیابی‌ها، کنترل‌ها و تصمیمات اداری در داخل کشور تکمیل شود، زمان توقف در مرز کمتر خواهد شد. برای رسیدن به این وضعیت، سامانه‌ها باید با یکدیگر ارتباط داشته باشند و مسئولیت انجام فرآیندها در مبدأ نیز روشن باشد.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۲.۱۰.</w:t>
      </w:r>
      <w:r w:rsidRPr="00EE66E7">
        <w:rPr>
          <w:rFonts w:ascii="Calibri" w:eastAsia="Times New Roman" w:hAnsi="Calibri" w:cs="Calibri" w:hint="cs"/>
          <w:b/>
          <w:bCs/>
          <w:sz w:val="28"/>
          <w:szCs w:val="28"/>
          <w:rtl/>
          <w:lang w:bidi="ar-SA"/>
        </w:rPr>
        <w:t xml:space="preserve"> کنترل باک پر و ضرورت بازطراحی شیوه کنترل</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کنترل باک پر و میزان سوخت می‌تواند میان مأموران مرزی دو کشور، ناوگان و فعالان ترانزیتی اصطکاک ایجاد کند و هزینه اقتصادی به همراه داشته باشد. کنترل مصرف و خروج سوخت همچنان ضروری است، اما در حال حاضر، مقررات مربوط به باک پر عملاً فقط برای کامیون‌های ایرانی اعمال می‌شود و کامیون‌های خارجی از محدودیت مشابهی برخوردار نیستند. این تفاوت موجب شده کامیون‌های ایرانی ظرفیت باک استاندارد خود (حدود </w:t>
      </w:r>
      <w:r w:rsidRPr="00EE66E7">
        <w:rPr>
          <w:rFonts w:ascii="Calibri" w:eastAsia="Times New Roman" w:hAnsi="Calibri" w:cs="Calibri" w:hint="cs"/>
          <w:sz w:val="28"/>
          <w:szCs w:val="28"/>
          <w:rtl/>
        </w:rPr>
        <w:t>۱۵۰۰</w:t>
      </w:r>
      <w:r w:rsidRPr="00EE66E7">
        <w:rPr>
          <w:rFonts w:ascii="Calibri" w:eastAsia="Times New Roman" w:hAnsi="Calibri" w:cs="Calibri" w:hint="cs"/>
          <w:sz w:val="28"/>
          <w:szCs w:val="28"/>
          <w:rtl/>
          <w:lang w:bidi="ar-SA"/>
        </w:rPr>
        <w:t xml:space="preserve"> لیتر) را به حدود </w:t>
      </w:r>
      <w:r w:rsidRPr="00EE66E7">
        <w:rPr>
          <w:rFonts w:ascii="Calibri" w:eastAsia="Times New Roman" w:hAnsi="Calibri" w:cs="Calibri" w:hint="cs"/>
          <w:sz w:val="28"/>
          <w:szCs w:val="28"/>
          <w:rtl/>
        </w:rPr>
        <w:t>۴۰</w:t>
      </w:r>
      <w:r w:rsidRPr="00EE66E7">
        <w:rPr>
          <w:rFonts w:ascii="Calibri" w:eastAsia="Times New Roman" w:hAnsi="Calibri" w:cs="Calibri" w:hint="cs"/>
          <w:sz w:val="28"/>
          <w:szCs w:val="28"/>
          <w:rtl/>
          <w:lang w:bidi="ar-SA"/>
        </w:rPr>
        <w:t xml:space="preserve"> لیتر کاهش دهند تا محموله را در نزدیک‌ترین نقطه خاک ترکیه به ناوگان ترک تحویل دهند؛ در مقابل، کامیون‌های خارجی ظرفیت مخازن خود را به حدود </w:t>
      </w:r>
      <w:r w:rsidRPr="00EE66E7">
        <w:rPr>
          <w:rFonts w:ascii="Calibri" w:eastAsia="Times New Roman" w:hAnsi="Calibri" w:cs="Calibri" w:hint="cs"/>
          <w:sz w:val="28"/>
          <w:szCs w:val="28"/>
          <w:rtl/>
        </w:rPr>
        <w:t>۴۰۰۰</w:t>
      </w:r>
      <w:r w:rsidRPr="00EE66E7">
        <w:rPr>
          <w:rFonts w:ascii="Calibri" w:eastAsia="Times New Roman" w:hAnsi="Calibri" w:cs="Calibri" w:hint="cs"/>
          <w:sz w:val="28"/>
          <w:szCs w:val="28"/>
          <w:rtl/>
          <w:lang w:bidi="ar-SA"/>
        </w:rPr>
        <w:t xml:space="preserve"> لیتر افزایش داده‌اند. علت این وضعیت، الزام کامیون‌های ایرانی به پرداخت مابه‌التفاوت قیمت جهانی سوخت موجود در باک هنگام عبور از مرز است؛ در حالی که کامیون‌های خارجی با سوخت‌گیری از منابع یارانه‌ای ایران و بدون کنترل مؤثر بر میزان سوخت دریافتی، امکان انتقال حجم قابل‌توجهی سوخت ارزان به خارج از کشور را دارند. این رویه ضمن ایجاد زمینه قاچاق سوخت و تحمیل زیان به منابع عمومی، موجب تبعیض علیه ناوگان ایرانی و کاهش قدرت رقابت آن شده است</w:t>
      </w:r>
      <w:r w:rsidRPr="00EE66E7">
        <w:rPr>
          <w:rFonts w:ascii="Calibri" w:eastAsia="Times New Roman" w:hAnsi="Calibri" w:cs="Calibri" w:hint="cs"/>
          <w:sz w:val="28"/>
          <w:szCs w:val="28"/>
          <w:rtl/>
        </w:rPr>
        <w:t>، لذا لازم است</w:t>
      </w:r>
      <w:r w:rsidRPr="00EE66E7">
        <w:rPr>
          <w:rFonts w:ascii="Calibri" w:eastAsia="Times New Roman" w:hAnsi="Calibri" w:cs="Calibri" w:hint="cs"/>
          <w:sz w:val="28"/>
          <w:szCs w:val="28"/>
          <w:rtl/>
          <w:lang w:bidi="ar-SA"/>
        </w:rPr>
        <w:t xml:space="preserve"> مقررات یکسان و شفافی برای ناوگان ایرانی و خارجی تدوین شود تا هنگام خروج از ایران، مابه‌التفاوت سوخت با نرخ جهانی، متناسب با میزان سوخت‌گیری در خاک ایران، از تمامی کامیون‌ها دریافت و صرفه قاچاق سوخت یارانه‌ای حذف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۲.۱۱.</w:t>
      </w:r>
      <w:r w:rsidRPr="00EE66E7">
        <w:rPr>
          <w:rFonts w:ascii="Calibri" w:eastAsia="Times New Roman" w:hAnsi="Calibri" w:cs="Calibri" w:hint="cs"/>
          <w:b/>
          <w:bCs/>
          <w:sz w:val="28"/>
          <w:szCs w:val="28"/>
          <w:rtl/>
          <w:lang w:bidi="ar-SA"/>
        </w:rPr>
        <w:t xml:space="preserve"> ضعف هماهنگی و ضرورت حکمرانی یکپارچه</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گلوگاه‌های ترانزیتی محصول عملکرد یک دستگاه واحد نیستند؛ وزارت راه و شهرسازی، سازمان راهداری، گمرک، وزارت کشور، فراجا، مرزبانی، دستگاه‌های امنیتی و کنترلی، وزارت صمت، بانک مرکزی، وزارت امور خارجه و سایر دستگاه‌ها هرکدام بخشی از این زنجیره را در اختیار دارند. مشکل آنجا شکل می‌گیرد که مرجع مؤثری برای جمع کردن این اجزا و پیگیری نتیجه نهایی وجود ندارد؛ فعال اقتصادی در نهایت با مجموع زمان و هزینه روبه‌روست، نه با زمان عملکرد هر دستگاه به‌صورت جداگانه. رفع این گرفتاری مستلزم ساماندهی در دو سطح تنظیم‌گری و مدیریت اجراست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برنامه هفتم پیشرفت، تشکیل «ستاد ملی ترانزیت گذر به گذر» پیش‌بینی شده است. کمیسیون عمران فعال‌سازی این ستاد را پیگیری و با رئیس‌جمهور مکاتبه کرده و نخستین جلسه ستاد در دولت چهاردهم برگزار شده است؛ با این حال، استمرار فعالیت، کیفیت تصمیم‌گیری و میزان اجرای تصمیمات آن هنوز به سطح مورد انتظار نرسیده است. برگزاری جلسه به‌تنهایی مسئله را حل نمی‌کند؛ برای هر تصمیم باید دستگاه مسئول، تقسیم کار، زمان‌بندی و شاخص </w:t>
      </w:r>
      <w:r w:rsidRPr="00EE66E7">
        <w:rPr>
          <w:rFonts w:ascii="Calibri" w:eastAsia="Times New Roman" w:hAnsi="Calibri" w:cs="Calibri" w:hint="cs"/>
          <w:sz w:val="28"/>
          <w:szCs w:val="28"/>
          <w:rtl/>
          <w:lang w:bidi="ar-SA"/>
        </w:rPr>
        <w:lastRenderedPageBreak/>
        <w:t>نتیجه مشخص باشد و اجرای آن تا حصول نتیجه پیگیری شود. ستاد باید از صرف برگزاری جلسات به مرجع واقعی هماهنگی، حل اختلاف، مطالبه نتیجه از دستگاه‌های مسئول و پیگیری اجرای تصمیمات تبدیل شود</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همچنین در قانون احکام دائمی برنامه‌های توسعه کشور و قانون چگونگی اداره مناطق آزاد تجاری ـ صنعتی، الزامات مدیریت اجرایی واحد در این مناطق تعیین تکلیف شده است. از منظر قانون، مرجع تنظیم‌گر (ستاد ملی ترانزیت گذر به گذر) تعریف شده و مدیریت هماهنگی و اجرایی واحد در مناطق آزاد برعهده مدیرعامل سازمان منطقه آزاد گذاشته شده است؛ ولی سه ایراد اساسی مانع اجرای صحیح قانون و تحقق هدف قانونگذار شده 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rPr>
        <w:t>۱</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ستاد ترانزیت به دلیل ضعف توجه دولت در تشکیل جلسات، مرجعیت خود در تنظیم‌گری را نیافته 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rPr>
        <w:t>۲</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مقررات مغایر و عدم اجرای صحیح قانون در بدنه دولت، پذیرش مدیریت واحد منطقه آزاد را با چالش مواجه کرده 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rPr>
        <w:t>۳.</w:t>
      </w:r>
      <w:r w:rsidRPr="00EE66E7">
        <w:rPr>
          <w:rFonts w:ascii="Calibri" w:eastAsia="Times New Roman" w:hAnsi="Calibri" w:cs="Calibri" w:hint="cs"/>
          <w:sz w:val="28"/>
          <w:szCs w:val="28"/>
          <w:rtl/>
          <w:lang w:bidi="ar-SA"/>
        </w:rPr>
        <w:t xml:space="preserve"> خارج از مناطق آزاد، گرچه استاندار عالی‌ترین مقام دولتی است، اما بدلیل نگاه محلی نمی‌تواند مدیریت گذرگاهی با عملکرد و اثرگذاری ملی را به‌نحو مناسب مدیریت کند.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۲.۱۲.</w:t>
      </w:r>
      <w:r w:rsidRPr="00EE66E7">
        <w:rPr>
          <w:rFonts w:ascii="Calibri" w:eastAsia="Times New Roman" w:hAnsi="Calibri" w:cs="Calibri" w:hint="cs"/>
          <w:b/>
          <w:bCs/>
          <w:sz w:val="28"/>
          <w:szCs w:val="28"/>
          <w:rtl/>
          <w:lang w:bidi="ar-SA"/>
        </w:rPr>
        <w:t xml:space="preserve"> ساختار مالکیت ناوگان و ضرورت گذار از غلبه مالک‌محوری به شرکت‌محوری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بخش قابل‌توجهی از ناوگان حمل‌ونقل باری کشور در اختیار مالکانی است که به‌صورت مستقل کامیون خود را بهره‌برداری می‌کنند. این پراکندگی، مدیریت ظرفیت، برنامه‌ریزی سفر، تأمین بار رفت و برگشت و بسیج سریع ناوگان را دشوار می‌کند. دولت در سال‌های گذشته با راه‌اندازی شبکه‌ها و سامانه‌های اطلاعاتی تلاش کرده است بخشی از این مشکل را حل کند، اما اطلاعات به‌تنهایی جای مدیریت عملیاتی را نمی‌گیرد.  ساختار مالک‌محور می‌تواند به افزایش سفرهای خالی، کاهش بهره‌وری، کاهش قدرت چانه‌زنی در برابر صاحبان کالا و شرکت‌های لجستیکی بین‌المللی و دشواری در نوسازی، تعمیر و نگهداری و تأمین مالی ناوگان منجر شود. در عملیات بزرگ و فشرده نیز جمع کردن تعداد زیادی کامیون تحت یک برنامه واحد دشوارتر است؛ در حالی که یک شرکت بهره‌بردار می‌تواند ظرفیت تعداد زیادی کامیون را تحت مدیریت واحد سازماندهی و اعزام کند. این تفاوت در شرایط تقاضای فوری و عملیات فشرده اهمیت بیشتری پیدا می‌کند. این به معنای حذف مالکیت خصوصی یا خودمالکی ناوگان نیست. می‌توان با مشوق‌های مالی، اعتباری و عملیاتی، به‌تدریج شرکت‌های حمل‌ونقل، تعاونی‌های حرفه‌ای و شبکه‌های بهره‌برداری را تقویت کرد. دسترسی بهتر به منابع مالی، بار، خدمات و ظرفیت، اولویت در برخی خدمات، نوسازی، تعمیر و نگهداری، بیمه و خدمات مالی می‌تواند در اختیار شبکه‌های حرفه‌ای قرار گیرد. سکوهای دیجیتال نیز می‌توانند در تجمیع ظرفیت، تخصیص بار، تأمین بار برگشت، رهگیری و برنامه‌ریزی سفر به این فرآیند کمک کنند. هدف، حرکت از مالکیت و بهره‌برداری پراکنده به سمت مدیریت و بهره‌برداری شرکت‌محور است.</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۲.۱۳.</w:t>
      </w:r>
      <w:r w:rsidRPr="00EE66E7">
        <w:rPr>
          <w:rFonts w:ascii="Calibri" w:eastAsia="Times New Roman" w:hAnsi="Calibri" w:cs="Calibri"/>
          <w:b/>
          <w:bCs/>
          <w:sz w:val="24"/>
          <w:szCs w:val="24"/>
          <w:rtl/>
        </w:rPr>
        <w:t xml:space="preserve"> </w:t>
      </w:r>
      <w:r w:rsidRPr="00EE66E7">
        <w:rPr>
          <w:rFonts w:ascii="Calibri" w:eastAsia="Times New Roman" w:hAnsi="Calibri" w:cs="Calibri" w:hint="cs"/>
          <w:b/>
          <w:bCs/>
          <w:sz w:val="28"/>
          <w:szCs w:val="28"/>
          <w:rtl/>
          <w:lang w:bidi="ar-SA"/>
        </w:rPr>
        <w:t>ظرفیت‌های مغفول و ضرورت تنوع‌بخشی به</w:t>
      </w:r>
      <w:r w:rsidRPr="00EE66E7">
        <w:rPr>
          <w:rFonts w:ascii="Calibri" w:eastAsia="Times New Roman" w:hAnsi="Calibri" w:cs="Calibri"/>
          <w:b/>
          <w:bCs/>
          <w:sz w:val="24"/>
          <w:szCs w:val="24"/>
          <w:rtl/>
        </w:rPr>
        <w:t xml:space="preserve"> </w:t>
      </w:r>
      <w:r w:rsidRPr="00EE66E7">
        <w:rPr>
          <w:rFonts w:ascii="Calibri" w:eastAsia="Times New Roman" w:hAnsi="Calibri" w:cs="Calibri" w:hint="cs"/>
          <w:b/>
          <w:bCs/>
          <w:sz w:val="28"/>
          <w:szCs w:val="28"/>
          <w:rtl/>
          <w:lang w:bidi="ar-SA"/>
        </w:rPr>
        <w:t>شبکه ترانزیتی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وابستگی زیاد به چند گذرگاه اصلی، شبکه ترانزیتی را در برابر اختلالات محلی، اختلافات مرزی، تغییر مقررات و افزایش ناگهانی تقاضا آسیب‌پذیر می‌کند. در کنار بازرگان - گوربلاغ، گذرگاه‌هایی مانند رازی ـ کاپی‌کوی، کوزه‌رش - گلینجیک و سایر گذرگاه‌های قابل توسعه باید از نظر ظرفیت واقعی بررسی شوند. توسعه آنها فقط به افزایش تعداد کامیون قابل پذیرش محدود نیست؛ جاده، پایانه، گمرک، خدمات مرزی، راه‌آهن و امکان انتقال چندوجهی بار نیز باید هم‌زمان دیده شود.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lastRenderedPageBreak/>
        <w:t>شبکه ریلی و حمل‌ونقل چندوجهی نیز می‌تواند مکمل حمل‌ونقل جاده‌ای باشد. مسیر سرخس ـ مشهد ـ مرکز کشور ـ تبریز ـ مرند، در صورت تأمین زیرساخت و ایجاد سازوکار مناسب، می‌تواند در کاهش فشار بر حمل جاده‌ای نقش مکمل ایفا کند. همچنین در طراحی شبکه ترانزیتی، باید از گسست مسیرهای رقیب نیز به‌عنوان یک مسئله راهبردی بهره برداری شود. چون مسیرهای عبوری از ایران بر بسیاری از مسیرهای رقیب، به‌ویژه مسیرهایی که توسط دریای خزر گسسته می‌شوند یا نیاز به تغییر بوژی دارند مزیت نسبی پیدا کرده است.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از سوی دیگر، منابع دولت برای تجهیز و توسعه همه پایانه‌ها و زیرساخت‌ها محدود است. بنابراین، استفاده از ظرفیت اتاق بازرگانی و بخش خصوصی برای سرمایه‌گذاری در زیرساخت، تجهیزات و خدمات درآمدزا، به‌ویژه در مرزها، اهمیت دارد. شرط آن، وجود مدل اقتصادی روشن و مشخص بودن بازگشت سرمایه است.</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۲.۱۴.</w:t>
      </w:r>
      <w:r w:rsidRPr="00EE66E7">
        <w:rPr>
          <w:rFonts w:ascii="Calibri" w:eastAsia="Times New Roman" w:hAnsi="Calibri" w:cs="Calibri" w:hint="cs"/>
          <w:b/>
          <w:bCs/>
          <w:sz w:val="28"/>
          <w:szCs w:val="28"/>
          <w:rtl/>
          <w:lang w:bidi="ar-SA"/>
        </w:rPr>
        <w:t xml:space="preserve"> ظرفیت گذرگاه چشمه‌ثریا و ضرورت نگاه شبکه‌ای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منطقه مرزی چشمه‌ثریا از موقعیت جغرافیایی و ژئوپلیتیکی ویژه‌ای برخوردار است؛ در نقطه اتصال مرزی ایران، ترکیه و جمهوری آذربایجان قرار دارد و به ارمنستان نیز نزدیک است. همین موقعیت می‌تواند در توسعه شبکه و افزایش تاب‌آوری مسیرهای ترانزیتی مؤثر باشد. برای استفاده از این ظرفیت، تسریع در ایجاد خط ریلی و تکمیل زیرساخت‌های مورد نیاز ضروری است. سرمایه‌گذاری خارجی، به‌ویژه از سوی کشورهایی که در ترانزیت ظرفیت یا منفعت مستقیم دارند، نیز می‌تواند منافع مشترک ایجاد کرده و به شکل‌گیری یک ارتباط پایدارتر کمک کند. توسعه این گذرگاه باید در قالب برنامه‌ای مشخص دنبال شود؛ برنامه‌ای که منابع مالی، اجرای زیرساخت‌ها، اتصال ریلی، اهداف بهره‌برداری، مسئولیت دستگاه‌ها و نقاط عطف اجرایی آن روشن باشد.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۲.۱۵.</w:t>
      </w:r>
      <w:r w:rsidRPr="00EE66E7">
        <w:rPr>
          <w:rFonts w:ascii="Calibri" w:eastAsia="Times New Roman" w:hAnsi="Calibri" w:cs="Calibri" w:hint="cs"/>
          <w:b/>
          <w:bCs/>
          <w:sz w:val="28"/>
          <w:szCs w:val="28"/>
          <w:rtl/>
          <w:lang w:bidi="ar-SA"/>
        </w:rPr>
        <w:t xml:space="preserve"> گذرگاه ریمدان؛ امنیت مسیر و همکاری حمل‌ونقلی با پاکستان</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یکی از عوامل مؤثر بر عملکرد ریمدان، شرایط امنیتی مسیرهای داخلی پاکستان است. ناامنی در این مسیرها می‌تواند قابلیت اطمینان حمل‌ونقل و زمان‌بندی حرکت کالا را تحت تأثیر قرار دهد. این موضوع از طریق کانال‌های رسمی و با هماهنگی طرف پاکستانی نیازمند پیگیری است. در کنار مسئله امنیت، همکاری حمل‌ونقلی میان صاحبان کالا و ناوگان دو کشور نیز نسبت به گذشته کاهش یافته است. در گذشته، بخشی از کالا در انبارهای پاکستان تخلیه می‌شد و ادامه مسیر را کامیون‌های پاکستانی انجام می‌دادند و در جهت معکوس نیز ترتیبات مشابهی وجود داشت. کاهش این همکاری، به افزایش صف در سمت ایران و کاهش ظرفیت انتقال کالا به داخل کشور منجر شده است. بنابراین، افزایش ظرفیت فیزیکی مرز به‌تنهایی مشکل ریمدان را حل نمی‌کند. لازم است با مقامات پاکستانی درباره امنیت مسیرهای داخلی، ترتیبات قابل اتکا برای ادامه حمل‌ونقل و امکان استفاده متقابل از ظرفیت ناوگان دو کشور مذاکره و تفاهم شود. در موضوع امنیت مسیرها، حسب مورد، هماهنگی با مراجع مسئول امنیتی و نظامی پاکستان، از جمله ارتش پاکستان، نیز باید از مجاری رسمی دنبال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4"/>
          <w:szCs w:val="24"/>
          <w:rtl/>
          <w:lang w:bidi="ar-SA"/>
        </w:rPr>
        <w:t>بخش سوم: راهکارهای پیشنهادی</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استقرار حکمرانی واحد:</w:t>
      </w:r>
      <w:r w:rsidRPr="00EE66E7">
        <w:rPr>
          <w:rFonts w:ascii="Calibri" w:eastAsia="Times New Roman" w:hAnsi="Calibri" w:cs="Calibri" w:hint="cs"/>
          <w:sz w:val="28"/>
          <w:szCs w:val="28"/>
          <w:rtl/>
          <w:lang w:bidi="ar-SA"/>
        </w:rPr>
        <w:t xml:space="preserve"> فعال‌تر کردن ستاد ملی گذر مرز به مرز (ترانزیت)، حفظ مرجعیت و محوریت آن در هماهنگی مسائل چنددستگاهی و ملی، تعیین دستگاه مسئول، تقسیم کار، زمان‌بندی، شاخص نتیجه و سازوکار پیگیری برای مصوبات، و واگذاری مدیریت واحد و هماهنگ گذرگاه‌های مستقر در مناطق آزاد به مدیران عامل این مناطق و در سایر گذرگاه‌ها به یکی از وزرای کشور یا راه و شهرسازی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lastRenderedPageBreak/>
        <w:t>ساماندهی نوبت‌دهی و فعالسازی مقررات‌زدایی و رفع موانع:</w:t>
      </w:r>
      <w:r w:rsidRPr="00EE66E7">
        <w:rPr>
          <w:rFonts w:ascii="Calibri" w:eastAsia="Times New Roman" w:hAnsi="Calibri" w:cs="Calibri" w:hint="cs"/>
          <w:sz w:val="28"/>
          <w:szCs w:val="28"/>
          <w:rtl/>
          <w:lang w:bidi="ar-SA"/>
        </w:rPr>
        <w:t xml:space="preserve"> شفاف، متمرکز و قابل رصد کردن نظام نوبت‌دهی، معیارهای اولویت و تخصیص ظرفیت؛ بازنگری ارتباط کارت بازرگانی، تعهدات ارزی، بیجک، گمرک و نوبت‌دهی برای جلوگیری از ایجاد یا تشدید صف؛ انجام امور اداری، تجاری و کنترلی قابل انجام پیش از مرز در مبدأ یا الکترونیکی؛ و فعال و کارآمد کردن هیأت مقررات‌زدایی و کمیته موضوع ماده </w:t>
      </w:r>
      <w:r w:rsidRPr="00EE66E7">
        <w:rPr>
          <w:rFonts w:ascii="Calibri" w:eastAsia="Times New Roman" w:hAnsi="Calibri" w:cs="Calibri" w:hint="cs"/>
          <w:sz w:val="28"/>
          <w:szCs w:val="28"/>
          <w:rtl/>
        </w:rPr>
        <w:t>۲</w:t>
      </w:r>
      <w:r w:rsidRPr="00EE66E7">
        <w:rPr>
          <w:rFonts w:ascii="Calibri" w:eastAsia="Times New Roman" w:hAnsi="Calibri" w:cs="Calibri" w:hint="cs"/>
          <w:sz w:val="28"/>
          <w:szCs w:val="28"/>
          <w:rtl/>
          <w:lang w:bidi="ar-SA"/>
        </w:rPr>
        <w:t xml:space="preserve"> در تعیین تکلیف سریع موانع مقرراتی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انتقال بازرسی مرزی به داخل مرز با مشارکت خصوصی:</w:t>
      </w:r>
      <w:r w:rsidRPr="00EE66E7">
        <w:rPr>
          <w:rFonts w:ascii="Calibri" w:eastAsia="Times New Roman" w:hAnsi="Calibri" w:cs="Calibri" w:hint="cs"/>
          <w:sz w:val="28"/>
          <w:szCs w:val="28"/>
          <w:rtl/>
          <w:lang w:bidi="ar-SA"/>
        </w:rPr>
        <w:t xml:space="preserve"> احداث محوطه‌های ایزوله بازرسی در گذرگاه‌های مرزی با سرمایه‌گذاری بخش خصوصی، محوریت اتاق‌های بازرگانی و نظارت بخش حاکمیتی، همراه با تمهیدات مؤثر پاداش و تنبیه</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توسعه مسیرها و تخصصی‌سازی گذرگاه‌ها:</w:t>
      </w:r>
      <w:r w:rsidRPr="00EE66E7">
        <w:rPr>
          <w:rFonts w:ascii="Calibri" w:eastAsia="Times New Roman" w:hAnsi="Calibri" w:cs="Calibri" w:hint="cs"/>
          <w:sz w:val="28"/>
          <w:szCs w:val="28"/>
          <w:rtl/>
          <w:lang w:bidi="ar-SA"/>
        </w:rPr>
        <w:t xml:space="preserve"> تخصصی‌کردن گذرگاه‌ها و تفکیک جریان‌های بار در سطح شبکه گذرگاهی مرزی؛ توسعه مسیرهای جایگزین بازرگان ـ گوربولاغ، کوزه‌رش ـ گلینجیک و رازی ـ کاپی‌کوی؛ تقویت حمل‌ونقل چندوجهی و مسیرهای ریلی از جمله سرخس ـ مشهد ـ مرکز کشور ـ تبریز ـ مرند؛ فعال‌سازی ظرفیت چشمه‌ثریا از طریق توسعه زیرساخت، اتصال به محورهای مرند و شمال‌غرب و تأمین مالی؛ و استفاده از مزیت‌های شبکه‌ای ایران، از جمله عدم نیاز به تغییر بوژی و عدم گسست در تلاقی با دریای خزر در محور شمالی، در سیاست‌گذاری ترانزیتی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تامین تجهیزات و زیرساخت لجستیکی:</w:t>
      </w:r>
      <w:r w:rsidRPr="00EE66E7">
        <w:rPr>
          <w:rFonts w:ascii="Calibri" w:eastAsia="Times New Roman" w:hAnsi="Calibri" w:cs="Calibri" w:hint="cs"/>
          <w:sz w:val="28"/>
          <w:szCs w:val="28"/>
          <w:rtl/>
          <w:lang w:bidi="ar-SA"/>
        </w:rPr>
        <w:t xml:space="preserve"> تأمین فوری تجهیزات کنترلی گذرگاه‌های مرزی، به‌ویژه ایکس‌ری، متناسب با نیاز و با ارزیابی مستقل عملکردی از تولید داخل در صورت وجود کیفیت لازم و از واردات در صورت نیاز؛ و استفاده از ظرفیت بخش خصوصی و مشارکت عمومی ـ خصوصی در توسعه پایانه‌ها، پارکینگ، تجهیزات و خدمات لجستیکی و تأمین رفاه رانندگان و فعالیت‌های غیرحاکمیتی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تعامل با کشورهای همسایه و اقدام متقابل:</w:t>
      </w:r>
      <w:r w:rsidRPr="00EE66E7">
        <w:rPr>
          <w:rFonts w:ascii="Calibri" w:eastAsia="Times New Roman" w:hAnsi="Calibri" w:cs="Calibri" w:hint="cs"/>
          <w:sz w:val="28"/>
          <w:szCs w:val="28"/>
          <w:rtl/>
          <w:lang w:bidi="ar-SA"/>
        </w:rPr>
        <w:t xml:space="preserve"> پیگیری منسجم مسائل ترانزیتی در تعامل با ترکیه و پاکستان، شامل توجه به ظرفیت عبور قیر عراق مورد نیاز ترکیه از مسیر ایران و پیگیری امنیت مسیرهای داخلی، قابلیت اتکای ادامه مسیر و احیای همکاری حمل‌ونقلی میان ناوگان دو کشور با پاکستان؛ و شناسایی و به‌کارگیری کلیه ظرفیت‌های اقدام متقابل در برابر رفتارهای نامتوازن</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فعالسازی دیپلماسی ترانزیتی:</w:t>
      </w:r>
      <w:r w:rsidRPr="00EE66E7">
        <w:rPr>
          <w:rFonts w:ascii="Calibri" w:eastAsia="Times New Roman" w:hAnsi="Calibri" w:cs="Calibri" w:hint="cs"/>
          <w:sz w:val="28"/>
          <w:szCs w:val="28"/>
          <w:rtl/>
          <w:lang w:bidi="ar-SA"/>
        </w:rPr>
        <w:t xml:space="preserve"> فعال‌سازی حداکثری ظرفیت دیپلماسی در سه سطح سیاسی، اقتصادی و نظامی، به‌ویژه از طریق کمیسیون‌های مشترک اقتصادی، وزارت امور خارجه و اتاق بازرگانی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ارتقای کنترل مبتنی بر ریسک و تامین امنیت محوطه‌های مرزی:</w:t>
      </w:r>
      <w:r w:rsidRPr="00EE66E7">
        <w:rPr>
          <w:rFonts w:ascii="Calibri" w:eastAsia="Times New Roman" w:hAnsi="Calibri" w:cs="Calibri" w:hint="cs"/>
          <w:sz w:val="28"/>
          <w:szCs w:val="28"/>
          <w:rtl/>
          <w:lang w:bidi="ar-SA"/>
        </w:rPr>
        <w:t xml:space="preserve"> حرکت نظام کنترل از کنترل عمومی و یکسان به کنترل مبتنی بر ریسک و محدود کردن فک پلمب و بازرسی مجدد به موارد ضروری و مبتنی بر ریسک؛ ثبت علت، زمان، مأمور، نتیجه و پلمب جدید برای تمام موارد فک پلمب و بازرسی مجدد به‌صورت قابل رهگیری و جبران خسارت در صورت احراز نشدن تخلف؛ تقویت امنیت محوطه‌های توقف اجباری برای جلوگیری از دسترسی غیرمجاز و الحاق اقلام ممنوعه و سوءاستفاده از نظام سوت‌زنی کشورهای مقابل؛ و اعتبارسنجی و بررسی گزارش‌های سوت‌زنی داخلی پیش از ترتیب اثر و قابل ردیابی کردن فرآیند بررسی آنها</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توسعه شرکت‌محوری و اصلاح فرآیندهای ترانزیتی:</w:t>
      </w:r>
      <w:r w:rsidRPr="00EE66E7">
        <w:rPr>
          <w:rFonts w:ascii="Calibri" w:eastAsia="Times New Roman" w:hAnsi="Calibri" w:cs="Calibri" w:hint="cs"/>
          <w:sz w:val="28"/>
          <w:szCs w:val="28"/>
          <w:rtl/>
          <w:lang w:bidi="ar-SA"/>
        </w:rPr>
        <w:t xml:space="preserve"> تقویت شرکت‌محوری ناوگان و حمل‌ونقل چندوجهی؛ بازطراحی مقررات کنترل «باک پر» و کنترل آن با ضمانت اجرایی؛ و تفکیک فرآیندهای تجاری و مالی از فرآیند واقعی عبور ترانزیتی و بازنگری آثار </w:t>
      </w:r>
      <w:bookmarkStart w:id="0" w:name="_GoBack"/>
      <w:r w:rsidRPr="00EE66E7">
        <w:rPr>
          <w:rFonts w:ascii="Calibri" w:eastAsia="Times New Roman" w:hAnsi="Calibri" w:cs="Calibri" w:hint="cs"/>
          <w:sz w:val="28"/>
          <w:szCs w:val="28"/>
          <w:rtl/>
          <w:lang w:bidi="ar-SA"/>
        </w:rPr>
        <w:lastRenderedPageBreak/>
        <w:t xml:space="preserve">کارت بازرگانی، تعهدات ارزی، تأمین مالی و محدودیت‌های تجاری بر زمان و هزینه </w:t>
      </w:r>
      <w:bookmarkEnd w:id="0"/>
      <w:r w:rsidRPr="00EE66E7">
        <w:rPr>
          <w:rFonts w:ascii="Calibri" w:eastAsia="Times New Roman" w:hAnsi="Calibri" w:cs="Calibri" w:hint="cs"/>
          <w:sz w:val="28"/>
          <w:szCs w:val="28"/>
          <w:rtl/>
          <w:lang w:bidi="ar-SA"/>
        </w:rPr>
        <w:t>ترانزیت</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مستندسازی، پیگیری خسارت و پایش عملکرد:</w:t>
      </w:r>
      <w:r w:rsidRPr="00EE66E7">
        <w:rPr>
          <w:rFonts w:ascii="Calibri" w:eastAsia="Times New Roman" w:hAnsi="Calibri" w:cs="Calibri" w:hint="cs"/>
          <w:sz w:val="28"/>
          <w:szCs w:val="28"/>
          <w:rtl/>
          <w:lang w:bidi="ar-SA"/>
        </w:rPr>
        <w:t xml:space="preserve"> مستندسازی نحوه و نتایج بازرسی محموله‌های ایرانی و خسارت در مسیرهای ترانزیتی خارج از کشور و تخلف ناوگان خارجی در کشور و پیگیری حقوق ذی‌نفع ایرانی؛ فعال کردن اتاق بازرگانی در شناسایی نیازها، مستندسازی هزینه‌ها و خسارات و پیگیری موارد مؤثر بر کاهش اعتماد سرمایه‌گذاری؛ و پایش عملکرد گذرگاه‌های مرزی بر اساس شاخص‌های مشخص، از جمله زمان توقف و عبور، تعداد و مدت انتظار، ظرفیت پذیرش، تعداد و نوع کنترل‌ها، توقف ناشی از تجهیزات و خسارات ناشی از توقف، و بررسی نتایج آن در ستاد ملی ترانزیت و قرار دادن آن مبنای ارزیابی عملکرد مدیران و سازوکارهای مرزی.</w:t>
      </w:r>
      <w:r w:rsidRPr="00EE66E7">
        <w:rPr>
          <w:rFonts w:ascii="Times New Roman" w:eastAsia="Times New Roman" w:hAnsi="Times New Roman" w:cs="Times New Roman"/>
          <w:sz w:val="21"/>
          <w:szCs w:val="21"/>
          <w:rtl/>
        </w:rPr>
        <w:t xml:space="preserve">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ind w:right="720"/>
        <w:jc w:val="right"/>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محمدرضا رضایی</w:t>
      </w:r>
    </w:p>
    <w:p w:rsidR="00EE66E7" w:rsidRPr="00EE66E7" w:rsidRDefault="00EE66E7" w:rsidP="00EE66E7">
      <w:pPr>
        <w:shd w:val="clear" w:color="auto" w:fill="FFFFFF"/>
        <w:spacing w:before="240" w:after="100" w:afterAutospacing="1"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hint="cs"/>
          <w:b/>
          <w:bCs/>
          <w:color w:val="222222"/>
          <w:sz w:val="28"/>
          <w:szCs w:val="28"/>
          <w:rtl/>
          <w:lang w:bidi="ar-SA"/>
        </w:rPr>
        <w:t>                                                                                                                                              رئیس کمیسیون عمران</w:t>
      </w:r>
    </w:p>
    <w:p w:rsidR="00EE66E7" w:rsidRPr="00EE66E7" w:rsidRDefault="00EE66E7" w:rsidP="00EE66E7">
      <w:pPr>
        <w:bidi w:val="0"/>
        <w:spacing w:after="0" w:line="240" w:lineRule="auto"/>
        <w:rPr>
          <w:rFonts w:ascii="Times New Roman" w:eastAsia="Times New Roman" w:hAnsi="Times New Roman" w:cs="Times New Roman"/>
          <w:sz w:val="24"/>
          <w:szCs w:val="24"/>
          <w:rtl/>
        </w:rPr>
      </w:pPr>
      <w:r w:rsidRPr="00EE66E7">
        <w:rPr>
          <w:rFonts w:ascii="Times New Roman" w:eastAsia="Times New Roman" w:hAnsi="Times New Roman" w:cs="Times New Roman"/>
          <w:sz w:val="24"/>
          <w:szCs w:val="24"/>
          <w:rtl/>
        </w:rPr>
        <w:t xml:space="preserve">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64"/>
        <w:gridCol w:w="900"/>
        <w:gridCol w:w="3000"/>
        <w:gridCol w:w="3147"/>
      </w:tblGrid>
      <w:tr w:rsidR="00EE66E7" w:rsidRPr="00EE66E7" w:rsidTr="00EE66E7">
        <w:trPr>
          <w:tblHeader/>
        </w:trPr>
        <w:tc>
          <w:tcPr>
            <w:tcW w:w="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رديف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تصویر سند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عنوان فایل</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دسته بندی فایل</w:t>
            </w:r>
          </w:p>
        </w:tc>
      </w:tr>
      <w:tr w:rsidR="00EE66E7" w:rsidRPr="00EE66E7" w:rsidTr="00EE66E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sz w:val="24"/>
                <w:szCs w:val="24"/>
              </w:rPr>
            </w:pPr>
            <w:r w:rsidRPr="00EE66E7">
              <w:rPr>
                <w:rFonts w:ascii="Times New Roman" w:eastAsia="Times New Roman" w:hAnsi="Times New Roman" w:cs="Times New Roman"/>
                <w:sz w:val="24"/>
                <w:szCs w:val="24"/>
              </w:rPr>
              <w:t xml:space="preserve">1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rPr>
                <w:rFonts w:ascii="Times New Roman" w:eastAsia="Times New Roman" w:hAnsi="Times New Roman" w:cs="Times New Roman"/>
                <w:sz w:val="24"/>
                <w:szCs w:val="24"/>
              </w:rPr>
            </w:pPr>
            <w:r w:rsidRPr="00EE66E7">
              <w:rPr>
                <w:rFonts w:ascii="Times New Roman" w:eastAsia="Times New Roman" w:hAnsi="Times New Roman" w:cs="Times New Roman"/>
                <w:noProof/>
                <w:color w:val="0000FF"/>
                <w:sz w:val="24"/>
                <w:szCs w:val="24"/>
              </w:rPr>
              <mc:AlternateContent>
                <mc:Choice Requires="wps">
                  <w:drawing>
                    <wp:inline distT="0" distB="0" distL="0" distR="0">
                      <wp:extent cx="304800" cy="304800"/>
                      <wp:effectExtent l="0" t="0" r="0" b="0"/>
                      <wp:docPr id="1" name="Rectangle 1" descr="https://majlesyar.majles.ir/Images/mime/pdf-icon-48x48.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C05613" id="Rectangle 1" o:spid="_x0000_s1026" alt="https://majlesyar.majles.ir/Images/mime/pdf-icon-48x48.png" href="https://majlesyar.majles.ir/Pages/General/Editor/DownLoadFile.aspx?id=MTk3ODI5-DrURS5WvVh0%3d"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" o:button="t" filled="f" stroked="f">
                      <v:fill o:detectmouseclick="t"/>
                      <o:lock v:ext="edit" aspectratio="t"/>
                      <w10:wrap anchorx="page"/>
                      <w10:anchorlock/>
                    </v:rect>
                  </w:pict>
                </mc:Fallback>
              </mc:AlternateContent>
            </w:r>
          </w:p>
        </w:tc>
        <w:tc>
          <w:tcPr>
            <w:tcW w:w="30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rPr>
                <w:rFonts w:ascii="Times New Roman" w:eastAsia="Times New Roman" w:hAnsi="Times New Roman" w:cs="Times New Roman"/>
                <w:sz w:val="24"/>
                <w:szCs w:val="24"/>
              </w:rPr>
            </w:pPr>
            <w:r w:rsidRPr="00EE66E7">
              <w:rPr>
                <w:rFonts w:ascii="Times New Roman" w:eastAsia="Times New Roman" w:hAnsi="Times New Roman" w:cs="Times New Roman"/>
                <w:sz w:val="24"/>
                <w:szCs w:val="24"/>
                <w:rtl/>
              </w:rPr>
              <w:t xml:space="preserve">ارزیابی عملکرد گذرگاه‌های مرزی و ترانزیتی زمینی با تمرکز بر روانسازی و تسهیل عبور ومرر ناوگان حمل و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rPr>
                <w:rFonts w:ascii="Times New Roman" w:eastAsia="Times New Roman" w:hAnsi="Times New Roman" w:cs="Times New Roman"/>
                <w:sz w:val="24"/>
                <w:szCs w:val="24"/>
              </w:rPr>
            </w:pPr>
            <w:r w:rsidRPr="00EE66E7">
              <w:rPr>
                <w:rFonts w:ascii="Times New Roman" w:eastAsia="Times New Roman" w:hAnsi="Times New Roman" w:cs="Times New Roman"/>
                <w:sz w:val="24"/>
                <w:szCs w:val="24"/>
                <w:rtl/>
              </w:rPr>
              <w:t xml:space="preserve">گزارش کمیسیون مجلس شورای اسلامی </w:t>
            </w:r>
          </w:p>
        </w:tc>
      </w:tr>
    </w:tbl>
    <w:p w:rsidR="00EE66E7" w:rsidRPr="00EE66E7" w:rsidRDefault="00EE66E7" w:rsidP="00EE66E7">
      <w:pPr>
        <w:pBdr>
          <w:top w:val="single" w:sz="6" w:space="1" w:color="auto"/>
        </w:pBdr>
        <w:bidi w:val="0"/>
        <w:spacing w:after="0" w:line="240" w:lineRule="auto"/>
        <w:jc w:val="center"/>
        <w:rPr>
          <w:rFonts w:ascii="Arial" w:eastAsia="Times New Roman" w:hAnsi="Arial" w:cs="Arial"/>
          <w:vanish/>
          <w:sz w:val="16"/>
          <w:szCs w:val="16"/>
        </w:rPr>
      </w:pPr>
      <w:r w:rsidRPr="00EE66E7">
        <w:rPr>
          <w:rFonts w:ascii="Arial" w:eastAsia="Times New Roman" w:hAnsi="Arial" w:cs="Arial"/>
          <w:vanish/>
          <w:sz w:val="16"/>
          <w:szCs w:val="16"/>
        </w:rPr>
        <w:t>Bottom of Form</w:t>
      </w:r>
    </w:p>
    <w:p w:rsidR="00642885" w:rsidRDefault="00642885"/>
    <w:sectPr w:rsidR="00642885" w:rsidSect="00432A7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96604"/>
    <w:multiLevelType w:val="multilevel"/>
    <w:tmpl w:val="F8AC8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6E7"/>
    <w:rsid w:val="00432A72"/>
    <w:rsid w:val="00642885"/>
    <w:rsid w:val="00EE66E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A92A6-9ABB-405A-B7E7-8DA5A5B7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EE66E7"/>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E66E7"/>
    <w:rPr>
      <w:rFonts w:ascii="Arial" w:eastAsia="Times New Roman" w:hAnsi="Arial" w:cs="Arial"/>
      <w:vanish/>
      <w:sz w:val="16"/>
      <w:szCs w:val="16"/>
    </w:rPr>
  </w:style>
  <w:style w:type="paragraph" w:styleId="NormalWeb">
    <w:name w:val="Normal (Web)"/>
    <w:basedOn w:val="Normal"/>
    <w:uiPriority w:val="99"/>
    <w:semiHidden/>
    <w:unhideWhenUsed/>
    <w:rsid w:val="00EE66E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xxxxxxxxxxx">
    <w:name w:val="x_x_x_x_x_x_x_x_x_x_x_x_x_x_"/>
    <w:basedOn w:val="Normal"/>
    <w:rsid w:val="00EE66E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pms-label-top">
    <w:name w:val="bpms-label-top"/>
    <w:basedOn w:val="DefaultParagraphFont"/>
    <w:rsid w:val="00EE66E7"/>
  </w:style>
  <w:style w:type="paragraph" w:styleId="z-BottomofForm">
    <w:name w:val="HTML Bottom of Form"/>
    <w:basedOn w:val="Normal"/>
    <w:next w:val="Normal"/>
    <w:link w:val="z-BottomofFormChar"/>
    <w:hidden/>
    <w:uiPriority w:val="99"/>
    <w:semiHidden/>
    <w:unhideWhenUsed/>
    <w:rsid w:val="00EE66E7"/>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E66E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9341">
      <w:bodyDiv w:val="1"/>
      <w:marLeft w:val="0"/>
      <w:marRight w:val="0"/>
      <w:marTop w:val="0"/>
      <w:marBottom w:val="0"/>
      <w:divBdr>
        <w:top w:val="none" w:sz="0" w:space="0" w:color="auto"/>
        <w:left w:val="none" w:sz="0" w:space="0" w:color="auto"/>
        <w:bottom w:val="none" w:sz="0" w:space="0" w:color="auto"/>
        <w:right w:val="none" w:sz="0" w:space="0" w:color="auto"/>
      </w:divBdr>
      <w:divsChild>
        <w:div w:id="763186782">
          <w:marLeft w:val="0"/>
          <w:marRight w:val="0"/>
          <w:marTop w:val="0"/>
          <w:marBottom w:val="0"/>
          <w:divBdr>
            <w:top w:val="none" w:sz="0" w:space="0" w:color="auto"/>
            <w:left w:val="none" w:sz="0" w:space="0" w:color="auto"/>
            <w:bottom w:val="none" w:sz="0" w:space="0" w:color="auto"/>
            <w:right w:val="none" w:sz="0" w:space="0" w:color="auto"/>
          </w:divBdr>
          <w:divsChild>
            <w:div w:id="2036080053">
              <w:marLeft w:val="0"/>
              <w:marRight w:val="0"/>
              <w:marTop w:val="0"/>
              <w:marBottom w:val="0"/>
              <w:divBdr>
                <w:top w:val="none" w:sz="0" w:space="0" w:color="auto"/>
                <w:left w:val="none" w:sz="0" w:space="0" w:color="auto"/>
                <w:bottom w:val="none" w:sz="0" w:space="0" w:color="auto"/>
                <w:right w:val="none" w:sz="0" w:space="0" w:color="auto"/>
              </w:divBdr>
              <w:divsChild>
                <w:div w:id="626081466">
                  <w:marLeft w:val="0"/>
                  <w:marRight w:val="0"/>
                  <w:marTop w:val="0"/>
                  <w:marBottom w:val="0"/>
                  <w:divBdr>
                    <w:top w:val="none" w:sz="0" w:space="0" w:color="auto"/>
                    <w:left w:val="none" w:sz="0" w:space="0" w:color="auto"/>
                    <w:bottom w:val="none" w:sz="0" w:space="0" w:color="auto"/>
                    <w:right w:val="none" w:sz="0" w:space="0" w:color="auto"/>
                  </w:divBdr>
                  <w:divsChild>
                    <w:div w:id="1827819193">
                      <w:marLeft w:val="0"/>
                      <w:marRight w:val="0"/>
                      <w:marTop w:val="0"/>
                      <w:marBottom w:val="0"/>
                      <w:divBdr>
                        <w:top w:val="none" w:sz="0" w:space="0" w:color="auto"/>
                        <w:left w:val="none" w:sz="0" w:space="0" w:color="auto"/>
                        <w:bottom w:val="none" w:sz="0" w:space="0" w:color="auto"/>
                        <w:right w:val="none" w:sz="0" w:space="0" w:color="auto"/>
                      </w:divBdr>
                      <w:divsChild>
                        <w:div w:id="749541897">
                          <w:marLeft w:val="0"/>
                          <w:marRight w:val="0"/>
                          <w:marTop w:val="0"/>
                          <w:marBottom w:val="0"/>
                          <w:divBdr>
                            <w:top w:val="none" w:sz="0" w:space="0" w:color="auto"/>
                            <w:left w:val="none" w:sz="0" w:space="0" w:color="auto"/>
                            <w:bottom w:val="none" w:sz="0" w:space="0" w:color="auto"/>
                            <w:right w:val="none" w:sz="0" w:space="0" w:color="auto"/>
                          </w:divBdr>
                          <w:divsChild>
                            <w:div w:id="415253900">
                              <w:marLeft w:val="0"/>
                              <w:marRight w:val="0"/>
                              <w:marTop w:val="0"/>
                              <w:marBottom w:val="0"/>
                              <w:divBdr>
                                <w:top w:val="none" w:sz="0" w:space="0" w:color="auto"/>
                                <w:left w:val="none" w:sz="0" w:space="0" w:color="auto"/>
                                <w:bottom w:val="none" w:sz="0" w:space="0" w:color="auto"/>
                                <w:right w:val="none" w:sz="0" w:space="0" w:color="auto"/>
                              </w:divBdr>
                              <w:divsChild>
                                <w:div w:id="1066149656">
                                  <w:marLeft w:val="0"/>
                                  <w:marRight w:val="0"/>
                                  <w:marTop w:val="0"/>
                                  <w:marBottom w:val="0"/>
                                  <w:divBdr>
                                    <w:top w:val="none" w:sz="0" w:space="0" w:color="auto"/>
                                    <w:left w:val="none" w:sz="0" w:space="0" w:color="auto"/>
                                    <w:bottom w:val="none" w:sz="0" w:space="0" w:color="auto"/>
                                    <w:right w:val="none" w:sz="0" w:space="0" w:color="auto"/>
                                  </w:divBdr>
                                  <w:divsChild>
                                    <w:div w:id="1973053122">
                                      <w:marLeft w:val="0"/>
                                      <w:marRight w:val="0"/>
                                      <w:marTop w:val="0"/>
                                      <w:marBottom w:val="0"/>
                                      <w:divBdr>
                                        <w:top w:val="none" w:sz="0" w:space="0" w:color="auto"/>
                                        <w:left w:val="none" w:sz="0" w:space="0" w:color="auto"/>
                                        <w:bottom w:val="none" w:sz="0" w:space="0" w:color="auto"/>
                                        <w:right w:val="none" w:sz="0" w:space="0" w:color="auto"/>
                                      </w:divBdr>
                                      <w:divsChild>
                                        <w:div w:id="1432168901">
                                          <w:marLeft w:val="0"/>
                                          <w:marRight w:val="0"/>
                                          <w:marTop w:val="0"/>
                                          <w:marBottom w:val="0"/>
                                          <w:divBdr>
                                            <w:top w:val="none" w:sz="0" w:space="0" w:color="auto"/>
                                            <w:left w:val="none" w:sz="0" w:space="0" w:color="auto"/>
                                            <w:bottom w:val="none" w:sz="0" w:space="0" w:color="auto"/>
                                            <w:right w:val="none" w:sz="0" w:space="0" w:color="auto"/>
                                          </w:divBdr>
                                          <w:divsChild>
                                            <w:div w:id="177084940">
                                              <w:marLeft w:val="0"/>
                                              <w:marRight w:val="0"/>
                                              <w:marTop w:val="0"/>
                                              <w:marBottom w:val="0"/>
                                              <w:divBdr>
                                                <w:top w:val="none" w:sz="0" w:space="0" w:color="auto"/>
                                                <w:left w:val="none" w:sz="0" w:space="0" w:color="auto"/>
                                                <w:bottom w:val="none" w:sz="0" w:space="0" w:color="auto"/>
                                                <w:right w:val="none" w:sz="0" w:space="0" w:color="auto"/>
                                              </w:divBdr>
                                              <w:divsChild>
                                                <w:div w:id="198249366">
                                                  <w:marLeft w:val="0"/>
                                                  <w:marRight w:val="0"/>
                                                  <w:marTop w:val="0"/>
                                                  <w:marBottom w:val="0"/>
                                                  <w:divBdr>
                                                    <w:top w:val="none" w:sz="0" w:space="0" w:color="auto"/>
                                                    <w:left w:val="none" w:sz="0" w:space="0" w:color="auto"/>
                                                    <w:bottom w:val="none" w:sz="0" w:space="0" w:color="auto"/>
                                                    <w:right w:val="none" w:sz="0" w:space="0" w:color="auto"/>
                                                  </w:divBdr>
                                                  <w:divsChild>
                                                    <w:div w:id="1025132439">
                                                      <w:marLeft w:val="0"/>
                                                      <w:marRight w:val="0"/>
                                                      <w:marTop w:val="0"/>
                                                      <w:marBottom w:val="0"/>
                                                      <w:divBdr>
                                                        <w:top w:val="none" w:sz="0" w:space="0" w:color="auto"/>
                                                        <w:left w:val="none" w:sz="0" w:space="0" w:color="auto"/>
                                                        <w:bottom w:val="none" w:sz="0" w:space="0" w:color="auto"/>
                                                        <w:right w:val="none" w:sz="0" w:space="0" w:color="auto"/>
                                                      </w:divBdr>
                                                      <w:divsChild>
                                                        <w:div w:id="821584804">
                                                          <w:marLeft w:val="0"/>
                                                          <w:marRight w:val="0"/>
                                                          <w:marTop w:val="0"/>
                                                          <w:marBottom w:val="0"/>
                                                          <w:divBdr>
                                                            <w:top w:val="none" w:sz="0" w:space="0" w:color="auto"/>
                                                            <w:left w:val="none" w:sz="0" w:space="0" w:color="auto"/>
                                                            <w:bottom w:val="none" w:sz="0" w:space="0" w:color="auto"/>
                                                            <w:right w:val="none" w:sz="0" w:space="0" w:color="auto"/>
                                                          </w:divBdr>
                                                          <w:divsChild>
                                                            <w:div w:id="160199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701645">
                                  <w:marLeft w:val="0"/>
                                  <w:marRight w:val="0"/>
                                  <w:marTop w:val="0"/>
                                  <w:marBottom w:val="0"/>
                                  <w:divBdr>
                                    <w:top w:val="none" w:sz="0" w:space="0" w:color="auto"/>
                                    <w:left w:val="none" w:sz="0" w:space="0" w:color="auto"/>
                                    <w:bottom w:val="none" w:sz="0" w:space="0" w:color="auto"/>
                                    <w:right w:val="none" w:sz="0" w:space="0" w:color="auto"/>
                                  </w:divBdr>
                                  <w:divsChild>
                                    <w:div w:id="1732001804">
                                      <w:marLeft w:val="0"/>
                                      <w:marRight w:val="0"/>
                                      <w:marTop w:val="0"/>
                                      <w:marBottom w:val="0"/>
                                      <w:divBdr>
                                        <w:top w:val="none" w:sz="0" w:space="0" w:color="auto"/>
                                        <w:left w:val="none" w:sz="0" w:space="0" w:color="auto"/>
                                        <w:bottom w:val="none" w:sz="0" w:space="0" w:color="auto"/>
                                        <w:right w:val="none" w:sz="0" w:space="0" w:color="auto"/>
                                      </w:divBdr>
                                      <w:divsChild>
                                        <w:div w:id="23748370">
                                          <w:marLeft w:val="0"/>
                                          <w:marRight w:val="0"/>
                                          <w:marTop w:val="0"/>
                                          <w:marBottom w:val="0"/>
                                          <w:divBdr>
                                            <w:top w:val="none" w:sz="0" w:space="0" w:color="auto"/>
                                            <w:left w:val="none" w:sz="0" w:space="0" w:color="auto"/>
                                            <w:bottom w:val="none" w:sz="0" w:space="0" w:color="auto"/>
                                            <w:right w:val="none" w:sz="0" w:space="0" w:color="auto"/>
                                          </w:divBdr>
                                          <w:divsChild>
                                            <w:div w:id="487133385">
                                              <w:marLeft w:val="0"/>
                                              <w:marRight w:val="0"/>
                                              <w:marTop w:val="0"/>
                                              <w:marBottom w:val="0"/>
                                              <w:divBdr>
                                                <w:top w:val="none" w:sz="0" w:space="0" w:color="auto"/>
                                                <w:left w:val="none" w:sz="0" w:space="0" w:color="auto"/>
                                                <w:bottom w:val="none" w:sz="0" w:space="0" w:color="auto"/>
                                                <w:right w:val="none" w:sz="0" w:space="0" w:color="auto"/>
                                              </w:divBdr>
                                              <w:divsChild>
                                                <w:div w:id="1581326642">
                                                  <w:marLeft w:val="0"/>
                                                  <w:marRight w:val="0"/>
                                                  <w:marTop w:val="0"/>
                                                  <w:marBottom w:val="0"/>
                                                  <w:divBdr>
                                                    <w:top w:val="none" w:sz="0" w:space="0" w:color="auto"/>
                                                    <w:left w:val="none" w:sz="0" w:space="0" w:color="auto"/>
                                                    <w:bottom w:val="none" w:sz="0" w:space="0" w:color="auto"/>
                                                    <w:right w:val="none" w:sz="0" w:space="0" w:color="auto"/>
                                                  </w:divBdr>
                                                  <w:divsChild>
                                                    <w:div w:id="382828312">
                                                      <w:marLeft w:val="0"/>
                                                      <w:marRight w:val="0"/>
                                                      <w:marTop w:val="0"/>
                                                      <w:marBottom w:val="0"/>
                                                      <w:divBdr>
                                                        <w:top w:val="none" w:sz="0" w:space="0" w:color="auto"/>
                                                        <w:left w:val="none" w:sz="0" w:space="0" w:color="auto"/>
                                                        <w:bottom w:val="none" w:sz="0" w:space="0" w:color="auto"/>
                                                        <w:right w:val="none" w:sz="0" w:space="0" w:color="auto"/>
                                                      </w:divBdr>
                                                      <w:divsChild>
                                                        <w:div w:id="662398333">
                                                          <w:marLeft w:val="0"/>
                                                          <w:marRight w:val="0"/>
                                                          <w:marTop w:val="0"/>
                                                          <w:marBottom w:val="0"/>
                                                          <w:divBdr>
                                                            <w:top w:val="none" w:sz="0" w:space="0" w:color="auto"/>
                                                            <w:left w:val="none" w:sz="0" w:space="0" w:color="auto"/>
                                                            <w:bottom w:val="none" w:sz="0" w:space="0" w:color="auto"/>
                                                            <w:right w:val="none" w:sz="0" w:space="0" w:color="auto"/>
                                                          </w:divBdr>
                                                          <w:divsChild>
                                                            <w:div w:id="932125222">
                                                              <w:marLeft w:val="0"/>
                                                              <w:marRight w:val="0"/>
                                                              <w:marTop w:val="0"/>
                                                              <w:marBottom w:val="0"/>
                                                              <w:divBdr>
                                                                <w:top w:val="none" w:sz="0" w:space="0" w:color="auto"/>
                                                                <w:left w:val="none" w:sz="0" w:space="0" w:color="auto"/>
                                                                <w:bottom w:val="none" w:sz="0" w:space="0" w:color="auto"/>
                                                                <w:right w:val="none" w:sz="0" w:space="0" w:color="auto"/>
                                                              </w:divBdr>
                                                              <w:divsChild>
                                                                <w:div w:id="142356828">
                                                                  <w:marLeft w:val="0"/>
                                                                  <w:marRight w:val="0"/>
                                                                  <w:marTop w:val="0"/>
                                                                  <w:marBottom w:val="0"/>
                                                                  <w:divBdr>
                                                                    <w:top w:val="none" w:sz="0" w:space="0" w:color="auto"/>
                                                                    <w:left w:val="none" w:sz="0" w:space="0" w:color="auto"/>
                                                                    <w:bottom w:val="none" w:sz="0" w:space="0" w:color="auto"/>
                                                                    <w:right w:val="none" w:sz="0" w:space="0" w:color="auto"/>
                                                                  </w:divBdr>
                                                                  <w:divsChild>
                                                                    <w:div w:id="621572865">
                                                                      <w:marLeft w:val="0"/>
                                                                      <w:marRight w:val="0"/>
                                                                      <w:marTop w:val="0"/>
                                                                      <w:marBottom w:val="0"/>
                                                                      <w:divBdr>
                                                                        <w:top w:val="none" w:sz="0" w:space="0" w:color="auto"/>
                                                                        <w:left w:val="none" w:sz="0" w:space="0" w:color="auto"/>
                                                                        <w:bottom w:val="none" w:sz="0" w:space="0" w:color="auto"/>
                                                                        <w:right w:val="none" w:sz="0" w:space="0" w:color="auto"/>
                                                                      </w:divBdr>
                                                                      <w:divsChild>
                                                                        <w:div w:id="785540644">
                                                                          <w:marLeft w:val="0"/>
                                                                          <w:marRight w:val="0"/>
                                                                          <w:marTop w:val="0"/>
                                                                          <w:marBottom w:val="0"/>
                                                                          <w:divBdr>
                                                                            <w:top w:val="none" w:sz="0" w:space="0" w:color="auto"/>
                                                                            <w:left w:val="none" w:sz="0" w:space="0" w:color="auto"/>
                                                                            <w:bottom w:val="none" w:sz="0" w:space="0" w:color="auto"/>
                                                                            <w:right w:val="none" w:sz="0" w:space="0" w:color="auto"/>
                                                                          </w:divBdr>
                                                                          <w:divsChild>
                                                                            <w:div w:id="357701902">
                                                                              <w:marLeft w:val="0"/>
                                                                              <w:marRight w:val="0"/>
                                                                              <w:marTop w:val="0"/>
                                                                              <w:marBottom w:val="0"/>
                                                                              <w:divBdr>
                                                                                <w:top w:val="none" w:sz="0" w:space="0" w:color="auto"/>
                                                                                <w:left w:val="none" w:sz="0" w:space="0" w:color="auto"/>
                                                                                <w:bottom w:val="none" w:sz="0" w:space="0" w:color="auto"/>
                                                                                <w:right w:val="none" w:sz="0" w:space="0" w:color="auto"/>
                                                                              </w:divBdr>
                                                                              <w:divsChild>
                                                                                <w:div w:id="1885213027">
                                                                                  <w:marLeft w:val="0"/>
                                                                                  <w:marRight w:val="0"/>
                                                                                  <w:marTop w:val="0"/>
                                                                                  <w:marBottom w:val="0"/>
                                                                                  <w:divBdr>
                                                                                    <w:top w:val="none" w:sz="0" w:space="0" w:color="auto"/>
                                                                                    <w:left w:val="none" w:sz="0" w:space="0" w:color="auto"/>
                                                                                    <w:bottom w:val="none" w:sz="0" w:space="0" w:color="auto"/>
                                                                                    <w:right w:val="none" w:sz="0" w:space="0" w:color="auto"/>
                                                                                  </w:divBdr>
                                                                                  <w:divsChild>
                                                                                    <w:div w:id="1767383205">
                                                                                      <w:marLeft w:val="0"/>
                                                                                      <w:marRight w:val="0"/>
                                                                                      <w:marTop w:val="0"/>
                                                                                      <w:marBottom w:val="0"/>
                                                                                      <w:divBdr>
                                                                                        <w:top w:val="none" w:sz="0" w:space="0" w:color="auto"/>
                                                                                        <w:left w:val="none" w:sz="0" w:space="0" w:color="auto"/>
                                                                                        <w:bottom w:val="none" w:sz="0" w:space="0" w:color="auto"/>
                                                                                        <w:right w:val="none" w:sz="0" w:space="0" w:color="auto"/>
                                                                                      </w:divBdr>
                                                                                      <w:divsChild>
                                                                                        <w:div w:id="873538405">
                                                                                          <w:marLeft w:val="0"/>
                                                                                          <w:marRight w:val="0"/>
                                                                                          <w:marTop w:val="0"/>
                                                                                          <w:marBottom w:val="0"/>
                                                                                          <w:divBdr>
                                                                                            <w:top w:val="none" w:sz="0" w:space="0" w:color="auto"/>
                                                                                            <w:left w:val="none" w:sz="0" w:space="0" w:color="auto"/>
                                                                                            <w:bottom w:val="none" w:sz="0" w:space="0" w:color="auto"/>
                                                                                            <w:right w:val="none" w:sz="0" w:space="0" w:color="auto"/>
                                                                                          </w:divBdr>
                                                                                          <w:divsChild>
                                                                                            <w:div w:id="1790123148">
                                                                                              <w:marLeft w:val="0"/>
                                                                                              <w:marRight w:val="0"/>
                                                                                              <w:marTop w:val="0"/>
                                                                                              <w:marBottom w:val="0"/>
                                                                                              <w:divBdr>
                                                                                                <w:top w:val="none" w:sz="0" w:space="0" w:color="auto"/>
                                                                                                <w:left w:val="none" w:sz="0" w:space="0" w:color="auto"/>
                                                                                                <w:bottom w:val="none" w:sz="0" w:space="0" w:color="auto"/>
                                                                                                <w:right w:val="none" w:sz="0" w:space="0" w:color="auto"/>
                                                                                              </w:divBdr>
                                                                                              <w:divsChild>
                                                                                                <w:div w:id="1972905312">
                                                                                                  <w:marLeft w:val="0"/>
                                                                                                  <w:marRight w:val="0"/>
                                                                                                  <w:marTop w:val="0"/>
                                                                                                  <w:marBottom w:val="0"/>
                                                                                                  <w:divBdr>
                                                                                                    <w:top w:val="none" w:sz="0" w:space="0" w:color="auto"/>
                                                                                                    <w:left w:val="none" w:sz="0" w:space="0" w:color="auto"/>
                                                                                                    <w:bottom w:val="none" w:sz="0" w:space="0" w:color="auto"/>
                                                                                                    <w:right w:val="none" w:sz="0" w:space="0" w:color="auto"/>
                                                                                                  </w:divBdr>
                                                                                                  <w:divsChild>
                                                                                                    <w:div w:id="878662675">
                                                                                                      <w:marLeft w:val="0"/>
                                                                                                      <w:marRight w:val="0"/>
                                                                                                      <w:marTop w:val="0"/>
                                                                                                      <w:marBottom w:val="0"/>
                                                                                                      <w:divBdr>
                                                                                                        <w:top w:val="none" w:sz="0" w:space="0" w:color="auto"/>
                                                                                                        <w:left w:val="none" w:sz="0" w:space="0" w:color="auto"/>
                                                                                                        <w:bottom w:val="none" w:sz="0" w:space="0" w:color="auto"/>
                                                                                                        <w:right w:val="none" w:sz="0" w:space="0" w:color="auto"/>
                                                                                                      </w:divBdr>
                                                                                                      <w:divsChild>
                                                                                                        <w:div w:id="1259094168">
                                                                                                          <w:marLeft w:val="0"/>
                                                                                                          <w:marRight w:val="0"/>
                                                                                                          <w:marTop w:val="0"/>
                                                                                                          <w:marBottom w:val="0"/>
                                                                                                          <w:divBdr>
                                                                                                            <w:top w:val="none" w:sz="0" w:space="0" w:color="auto"/>
                                                                                                            <w:left w:val="none" w:sz="0" w:space="0" w:color="auto"/>
                                                                                                            <w:bottom w:val="none" w:sz="0" w:space="0" w:color="auto"/>
                                                                                                            <w:right w:val="none" w:sz="0" w:space="0" w:color="auto"/>
                                                                                                          </w:divBdr>
                                                                                                        </w:div>
                                                                                                        <w:div w:id="1490630951">
                                                                                                          <w:marLeft w:val="0"/>
                                                                                                          <w:marRight w:val="0"/>
                                                                                                          <w:marTop w:val="0"/>
                                                                                                          <w:marBottom w:val="0"/>
                                                                                                          <w:divBdr>
                                                                                                            <w:top w:val="none" w:sz="0" w:space="0" w:color="auto"/>
                                                                                                            <w:left w:val="none" w:sz="0" w:space="0" w:color="auto"/>
                                                                                                            <w:bottom w:val="none" w:sz="0" w:space="0" w:color="auto"/>
                                                                                                            <w:right w:val="none" w:sz="0" w:space="0" w:color="auto"/>
                                                                                                          </w:divBdr>
                                                                                                          <w:divsChild>
                                                                                                            <w:div w:id="1274360391">
                                                                                                              <w:marLeft w:val="0"/>
                                                                                                              <w:marRight w:val="0"/>
                                                                                                              <w:marTop w:val="0"/>
                                                                                                              <w:marBottom w:val="0"/>
                                                                                                              <w:divBdr>
                                                                                                                <w:top w:val="none" w:sz="0" w:space="0" w:color="auto"/>
                                                                                                                <w:left w:val="none" w:sz="0" w:space="0" w:color="auto"/>
                                                                                                                <w:bottom w:val="none" w:sz="0" w:space="0" w:color="auto"/>
                                                                                                                <w:right w:val="none" w:sz="0" w:space="0" w:color="auto"/>
                                                                                                              </w:divBdr>
                                                                                                              <w:divsChild>
                                                                                                                <w:div w:id="2002655839">
                                                                                                                  <w:marLeft w:val="0"/>
                                                                                                                  <w:marRight w:val="0"/>
                                                                                                                  <w:marTop w:val="0"/>
                                                                                                                  <w:marBottom w:val="0"/>
                                                                                                                  <w:divBdr>
                                                                                                                    <w:top w:val="none" w:sz="0" w:space="0" w:color="auto"/>
                                                                                                                    <w:left w:val="none" w:sz="0" w:space="0" w:color="auto"/>
                                                                                                                    <w:bottom w:val="none" w:sz="0" w:space="0" w:color="auto"/>
                                                                                                                    <w:right w:val="none" w:sz="0" w:space="0" w:color="auto"/>
                                                                                                                  </w:divBdr>
                                                                                                                  <w:divsChild>
                                                                                                                    <w:div w:id="105901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jlesyar.majles.ir/Pages/General/Editor/DownLoadFile.aspx?id=MTk3ODI5-DrURS5WvVh0%3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4085</Words>
  <Characters>23291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نجفی ، مهدی</dc:creator>
  <cp:keywords/>
  <dc:description/>
  <cp:lastModifiedBy>نجفی ، مهدی</cp:lastModifiedBy>
  <cp:revision>1</cp:revision>
  <dcterms:created xsi:type="dcterms:W3CDTF">2026-11-03T06:52:00Z</dcterms:created>
  <dcterms:modified xsi:type="dcterms:W3CDTF">2026-11-03T06:53:00Z</dcterms:modified>
</cp:coreProperties>
</file>